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3.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4.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5.xml" ContentType="application/vnd.openxmlformats-officedocument.wordprocessingml.footer+xml"/>
  <Override PartName="/word/header15.xml" ContentType="application/vnd.openxmlformats-officedocument.wordprocessingml.header+xml"/>
  <Override PartName="/word/footer6.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84D241" w14:textId="38D6EDA3" w:rsidR="003F0597" w:rsidRDefault="00185415" w:rsidP="001F7B3A">
      <w:pPr>
        <w:pStyle w:val="Documenttitle"/>
        <w:rPr>
          <w:rFonts w:ascii="HelveticaNeueLT Std" w:hAnsi="HelveticaNeueLT Std"/>
          <w:color w:val="A6A6A6" w:themeColor="background1" w:themeShade="A6"/>
          <w:szCs w:val="22"/>
        </w:rPr>
      </w:pPr>
      <w:r>
        <w:rPr>
          <w:noProof/>
          <w:lang w:eastAsia="en-GB"/>
        </w:rPr>
        <w:drawing>
          <wp:anchor distT="0" distB="0" distL="114300" distR="114300" simplePos="0" relativeHeight="251878400" behindDoc="1" locked="0" layoutInCell="1" allowOverlap="1" wp14:anchorId="0ED9CB7A" wp14:editId="5A64B01F">
            <wp:simplePos x="0" y="0"/>
            <wp:positionH relativeFrom="page">
              <wp:posOffset>0</wp:posOffset>
            </wp:positionH>
            <wp:positionV relativeFrom="paragraph">
              <wp:posOffset>-1047750</wp:posOffset>
            </wp:positionV>
            <wp:extent cx="7565390" cy="10691495"/>
            <wp:effectExtent l="0" t="0" r="0" b="0"/>
            <wp:wrapNone/>
            <wp:docPr id="35" name="Picture 35"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Artboard 27 copy 26.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65390" cy="10691495"/>
                    </a:xfrm>
                    <a:prstGeom prst="rect">
                      <a:avLst/>
                    </a:prstGeom>
                  </pic:spPr>
                </pic:pic>
              </a:graphicData>
            </a:graphic>
            <wp14:sizeRelH relativeFrom="page">
              <wp14:pctWidth>0</wp14:pctWidth>
            </wp14:sizeRelH>
            <wp14:sizeRelV relativeFrom="page">
              <wp14:pctHeight>0</wp14:pctHeight>
            </wp14:sizeRelV>
          </wp:anchor>
        </w:drawing>
      </w:r>
      <w:r w:rsidR="0087178C">
        <w:rPr>
          <w:noProof/>
          <w:lang w:eastAsia="en-GB"/>
        </w:rPr>
        <w:drawing>
          <wp:anchor distT="0" distB="0" distL="114300" distR="114300" simplePos="0" relativeHeight="251881472" behindDoc="0" locked="0" layoutInCell="1" allowOverlap="1" wp14:anchorId="772F1A0C" wp14:editId="74D459CD">
            <wp:simplePos x="0" y="0"/>
            <wp:positionH relativeFrom="column">
              <wp:posOffset>4975860</wp:posOffset>
            </wp:positionH>
            <wp:positionV relativeFrom="paragraph">
              <wp:posOffset>-890036</wp:posOffset>
            </wp:positionV>
            <wp:extent cx="1102995" cy="1103630"/>
            <wp:effectExtent l="0" t="0" r="1905" b="127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centre-for-economics-and-business-research-cebr-logo-vector.png"/>
                    <pic:cNvPicPr/>
                  </pic:nvPicPr>
                  <pic:blipFill rotWithShape="1">
                    <a:blip r:embed="rId9" cstate="print">
                      <a:extLst>
                        <a:ext uri="{28A0092B-C50C-407E-A947-70E740481C1C}">
                          <a14:useLocalDpi xmlns:a14="http://schemas.microsoft.com/office/drawing/2010/main" val="0"/>
                        </a:ext>
                      </a:extLst>
                    </a:blip>
                    <a:srcRect l="23518" t="2617" r="23880" b="2657"/>
                    <a:stretch/>
                  </pic:blipFill>
                  <pic:spPr bwMode="auto">
                    <a:xfrm>
                      <a:off x="0" y="0"/>
                      <a:ext cx="1102995" cy="11036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D13F7">
        <w:rPr>
          <w:noProof/>
        </w:rPr>
        <w:softHyphen/>
      </w:r>
      <w:r w:rsidR="005D13F7">
        <w:rPr>
          <w:noProof/>
        </w:rPr>
        <w:softHyphen/>
      </w:r>
    </w:p>
    <w:p w14:paraId="0482E9C6" w14:textId="77777777" w:rsidR="003F0597" w:rsidRDefault="00280D94" w:rsidP="001F7B3A">
      <w:pPr>
        <w:pStyle w:val="Documenttitle"/>
      </w:pPr>
      <w:r>
        <w:rPr>
          <w:noProof/>
        </w:rPr>
        <w:softHyphen/>
      </w:r>
      <w:r>
        <w:rPr>
          <w:noProof/>
        </w:rPr>
        <w:softHyphen/>
      </w:r>
      <w:r>
        <w:rPr>
          <w:noProof/>
        </w:rPr>
        <w:softHyphen/>
      </w:r>
      <w:r>
        <w:rPr>
          <w:noProof/>
        </w:rPr>
        <w:softHyphen/>
      </w:r>
      <w:r>
        <w:rPr>
          <w:noProof/>
        </w:rPr>
        <w:softHyphen/>
      </w:r>
      <w:r>
        <w:rPr>
          <w:noProof/>
        </w:rPr>
        <w:softHyphen/>
      </w:r>
      <w:r>
        <w:rPr>
          <w:noProof/>
        </w:rPr>
        <w:softHyphen/>
      </w:r>
      <w:r>
        <w:rPr>
          <w:noProof/>
        </w:rPr>
        <w:softHyphen/>
      </w:r>
      <w:r>
        <w:rPr>
          <w:noProof/>
        </w:rPr>
        <w:softHyphen/>
      </w:r>
      <w:r>
        <w:rPr>
          <w:noProof/>
        </w:rPr>
        <w:softHyphen/>
      </w:r>
    </w:p>
    <w:p w14:paraId="2D4F0275" w14:textId="77777777" w:rsidR="003F0597" w:rsidRDefault="003F0597" w:rsidP="001F7B3A">
      <w:pPr>
        <w:pStyle w:val="Documenttitle"/>
      </w:pPr>
    </w:p>
    <w:p w14:paraId="4B1E1ED1" w14:textId="77777777" w:rsidR="003F0597" w:rsidRDefault="003F0597" w:rsidP="001F7B3A">
      <w:pPr>
        <w:pStyle w:val="Documenttitle"/>
      </w:pPr>
    </w:p>
    <w:p w14:paraId="5D91095F" w14:textId="17D5F994" w:rsidR="003F0597" w:rsidRDefault="003F0597" w:rsidP="001F7B3A">
      <w:pPr>
        <w:pStyle w:val="Documenttitle"/>
      </w:pPr>
    </w:p>
    <w:p w14:paraId="20216C5D" w14:textId="490982B5" w:rsidR="003F0597" w:rsidRDefault="003F0597" w:rsidP="001F7B3A">
      <w:pPr>
        <w:pStyle w:val="Documenttitle"/>
      </w:pPr>
    </w:p>
    <w:p w14:paraId="3D46E003" w14:textId="13D451E6" w:rsidR="003F0597" w:rsidRDefault="003F0597" w:rsidP="001F7B3A">
      <w:pPr>
        <w:pStyle w:val="Documenttitle"/>
      </w:pPr>
    </w:p>
    <w:p w14:paraId="7C64B84A" w14:textId="3EFEFA53" w:rsidR="00EE7873" w:rsidRDefault="00EE7873" w:rsidP="00EE7873"/>
    <w:p w14:paraId="3B31F71C" w14:textId="06E1BB1A" w:rsidR="00EE7873" w:rsidRDefault="00EE7873" w:rsidP="00EE7873"/>
    <w:p w14:paraId="1A10B89B" w14:textId="0E86D8BF" w:rsidR="00EE7873" w:rsidRDefault="00EE7873" w:rsidP="00EE7873"/>
    <w:p w14:paraId="6635C0F8" w14:textId="77777777" w:rsidR="00EE7873" w:rsidRPr="00EE7873" w:rsidRDefault="00EE7873" w:rsidP="00EE7873"/>
    <w:p w14:paraId="630C9DB7" w14:textId="056F2E4B" w:rsidR="003F0597" w:rsidRDefault="003F0597" w:rsidP="001F7B3A">
      <w:pPr>
        <w:pStyle w:val="Documenttitle"/>
      </w:pPr>
    </w:p>
    <w:p w14:paraId="760B7262" w14:textId="193E1227" w:rsidR="003F0597" w:rsidRDefault="003F0597" w:rsidP="001F7B3A">
      <w:pPr>
        <w:pStyle w:val="Documenttitle"/>
      </w:pPr>
    </w:p>
    <w:p w14:paraId="303011F0" w14:textId="7AD3F95A" w:rsidR="003F0597" w:rsidRDefault="003F0597" w:rsidP="001F7B3A">
      <w:pPr>
        <w:pStyle w:val="Documenttitle"/>
      </w:pPr>
    </w:p>
    <w:p w14:paraId="3F2CF33D" w14:textId="7ED0D98C" w:rsidR="003F0597" w:rsidRDefault="003F0597" w:rsidP="001F7B3A">
      <w:pPr>
        <w:pStyle w:val="Documenttitle"/>
      </w:pPr>
    </w:p>
    <w:p w14:paraId="3A7C36D7" w14:textId="085D8355" w:rsidR="003F0597" w:rsidRPr="00525390" w:rsidRDefault="003F0597" w:rsidP="001F7B3A">
      <w:pPr>
        <w:pStyle w:val="Documenttitle"/>
      </w:pPr>
    </w:p>
    <w:p w14:paraId="4A509B1D" w14:textId="7760F760" w:rsidR="003F0597" w:rsidRPr="00525390" w:rsidRDefault="003F0597" w:rsidP="001F7B3A">
      <w:pPr>
        <w:pStyle w:val="Documenttitle"/>
      </w:pPr>
    </w:p>
    <w:p w14:paraId="115B8C8B" w14:textId="43D20714" w:rsidR="00053902" w:rsidRDefault="00B54F40" w:rsidP="001F7B3A">
      <w:pPr>
        <w:pStyle w:val="Documenttitle"/>
      </w:pPr>
      <w:r>
        <w:tab/>
      </w:r>
    </w:p>
    <w:p w14:paraId="1C6A63D4" w14:textId="77777777" w:rsidR="00EE7873" w:rsidRDefault="00EE7873" w:rsidP="001F7B3A">
      <w:pPr>
        <w:pStyle w:val="Documenttitle"/>
      </w:pPr>
    </w:p>
    <w:p w14:paraId="379470B1" w14:textId="320A06E2" w:rsidR="003F0597" w:rsidRPr="00210FE6" w:rsidRDefault="00164A0E" w:rsidP="001F7B3A">
      <w:pPr>
        <w:pStyle w:val="Documenttitle"/>
        <w:rPr>
          <w:sz w:val="40"/>
          <w:szCs w:val="2"/>
        </w:rPr>
      </w:pPr>
      <w:r>
        <w:t xml:space="preserve">NHF Local Economic Impact Calculator (LEIC): </w:t>
      </w:r>
      <w:r w:rsidR="00361ED1">
        <w:t>Methodology and assumptions</w:t>
      </w:r>
    </w:p>
    <w:p w14:paraId="54B3F670" w14:textId="77777777" w:rsidR="003F0597" w:rsidRPr="00003FFB" w:rsidRDefault="003F0597" w:rsidP="003F0597">
      <w:pPr>
        <w:pStyle w:val="Documentsubtitle"/>
        <w:tabs>
          <w:tab w:val="left" w:pos="7125"/>
          <w:tab w:val="left" w:pos="7701"/>
        </w:tabs>
        <w:rPr>
          <w:color w:val="262626" w:themeColor="text1" w:themeTint="D9"/>
          <w:sz w:val="40"/>
          <w:szCs w:val="24"/>
        </w:rPr>
      </w:pPr>
      <w:r w:rsidRPr="00003FFB">
        <w:rPr>
          <w:noProof/>
          <w:color w:val="262626" w:themeColor="text1" w:themeTint="D9"/>
          <w:sz w:val="40"/>
          <w:szCs w:val="24"/>
          <w:lang w:eastAsia="en-GB"/>
        </w:rPr>
        <mc:AlternateContent>
          <mc:Choice Requires="wps">
            <w:drawing>
              <wp:anchor distT="0" distB="0" distL="114300" distR="114300" simplePos="0" relativeHeight="251857920" behindDoc="0" locked="0" layoutInCell="1" allowOverlap="1" wp14:anchorId="5F48EAE4" wp14:editId="1185FFBE">
                <wp:simplePos x="0" y="0"/>
                <wp:positionH relativeFrom="column">
                  <wp:posOffset>12700</wp:posOffset>
                </wp:positionH>
                <wp:positionV relativeFrom="paragraph">
                  <wp:posOffset>175895</wp:posOffset>
                </wp:positionV>
                <wp:extent cx="3155950" cy="0"/>
                <wp:effectExtent l="0" t="0" r="6350" b="12700"/>
                <wp:wrapNone/>
                <wp:docPr id="17" name="Straight Connector 17"/>
                <wp:cNvGraphicFramePr/>
                <a:graphic xmlns:a="http://schemas.openxmlformats.org/drawingml/2006/main">
                  <a:graphicData uri="http://schemas.microsoft.com/office/word/2010/wordprocessingShape">
                    <wps:wsp>
                      <wps:cNvCnPr/>
                      <wps:spPr>
                        <a:xfrm>
                          <a:off x="0" y="0"/>
                          <a:ext cx="3155950" cy="0"/>
                        </a:xfrm>
                        <a:prstGeom prst="line">
                          <a:avLst/>
                        </a:prstGeom>
                        <a:ln w="15875">
                          <a:solidFill>
                            <a:schemeClr val="bg2">
                              <a:lumMod val="2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E73CCF4" id="Straight Connector 17" o:spid="_x0000_s1026" style="position:absolute;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pt,13.85pt" to="249.5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" strokecolor="#484329 [814]" strokeweight="1.25pt"/>
            </w:pict>
          </mc:Fallback>
        </mc:AlternateContent>
      </w:r>
      <w:r w:rsidRPr="00003FFB">
        <w:rPr>
          <w:color w:val="262626" w:themeColor="text1" w:themeTint="D9"/>
          <w:sz w:val="40"/>
          <w:szCs w:val="24"/>
        </w:rPr>
        <w:tab/>
      </w:r>
      <w:r w:rsidRPr="00003FFB">
        <w:rPr>
          <w:color w:val="262626" w:themeColor="text1" w:themeTint="D9"/>
          <w:sz w:val="40"/>
          <w:szCs w:val="24"/>
        </w:rPr>
        <w:tab/>
      </w:r>
    </w:p>
    <w:p w14:paraId="45A3ECA4" w14:textId="2FA27410" w:rsidR="00827330" w:rsidRPr="00003FFB" w:rsidRDefault="005E7844" w:rsidP="00827330">
      <w:pPr>
        <w:pStyle w:val="BodyRegular"/>
        <w:rPr>
          <w:sz w:val="26"/>
          <w:szCs w:val="28"/>
        </w:rPr>
      </w:pPr>
      <w:r>
        <w:rPr>
          <w:sz w:val="26"/>
          <w:szCs w:val="28"/>
        </w:rPr>
        <w:t>April</w:t>
      </w:r>
      <w:r w:rsidR="002E1648">
        <w:rPr>
          <w:sz w:val="26"/>
          <w:szCs w:val="28"/>
        </w:rPr>
        <w:t xml:space="preserve"> 202</w:t>
      </w:r>
      <w:r>
        <w:rPr>
          <w:sz w:val="26"/>
          <w:szCs w:val="28"/>
        </w:rPr>
        <w:t>4</w:t>
      </w:r>
    </w:p>
    <w:tbl>
      <w:tblPr>
        <w:tblStyle w:val="TableGrid"/>
        <w:tblW w:w="8220" w:type="dxa"/>
        <w:tblInd w:w="49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110"/>
        <w:gridCol w:w="4110"/>
      </w:tblGrid>
      <w:tr w:rsidR="00525390" w:rsidRPr="00F03966" w14:paraId="686413B5" w14:textId="77777777" w:rsidTr="00525390">
        <w:trPr>
          <w:trHeight w:val="14034"/>
        </w:trPr>
        <w:tc>
          <w:tcPr>
            <w:tcW w:w="4110" w:type="dxa"/>
            <w:vAlign w:val="bottom"/>
          </w:tcPr>
          <w:p w14:paraId="3CBA36C1" w14:textId="77777777" w:rsidR="00525390" w:rsidRPr="00F03966" w:rsidRDefault="00525390" w:rsidP="007F232D">
            <w:pPr>
              <w:pStyle w:val="Disclaimer"/>
            </w:pPr>
          </w:p>
          <w:p w14:paraId="4ED36886" w14:textId="77777777" w:rsidR="00525390" w:rsidRPr="00F03966" w:rsidRDefault="00525390" w:rsidP="007F232D">
            <w:pPr>
              <w:pStyle w:val="Disclaimer"/>
            </w:pPr>
          </w:p>
          <w:p w14:paraId="1F5DB16D" w14:textId="77777777" w:rsidR="00525390" w:rsidRPr="00F03966" w:rsidRDefault="00525390" w:rsidP="007F232D">
            <w:pPr>
              <w:pStyle w:val="Disclaimer"/>
            </w:pPr>
          </w:p>
          <w:p w14:paraId="686C66C8" w14:textId="77777777" w:rsidR="00525390" w:rsidRPr="00F03966" w:rsidRDefault="00525390" w:rsidP="007F232D">
            <w:pPr>
              <w:pStyle w:val="Disclaimer"/>
            </w:pPr>
          </w:p>
          <w:p w14:paraId="21AFEBBD" w14:textId="77777777" w:rsidR="00525390" w:rsidRPr="00F03966" w:rsidRDefault="00525390" w:rsidP="007F232D">
            <w:pPr>
              <w:pStyle w:val="Disclaimer"/>
            </w:pPr>
          </w:p>
          <w:p w14:paraId="74F36668" w14:textId="77777777" w:rsidR="00525390" w:rsidRPr="00F03966" w:rsidRDefault="00525390" w:rsidP="007F232D">
            <w:pPr>
              <w:pStyle w:val="Disclaimer"/>
            </w:pPr>
          </w:p>
          <w:p w14:paraId="38AC9F30" w14:textId="77777777" w:rsidR="00525390" w:rsidRPr="00F03966" w:rsidRDefault="00525390" w:rsidP="007F232D">
            <w:pPr>
              <w:pStyle w:val="Disclaimer"/>
            </w:pPr>
          </w:p>
          <w:p w14:paraId="5163D492" w14:textId="77777777" w:rsidR="00525390" w:rsidRPr="00F03966" w:rsidRDefault="00525390" w:rsidP="007F232D">
            <w:pPr>
              <w:pStyle w:val="Disclaimer"/>
            </w:pPr>
            <w:r w:rsidRPr="00DA31EA">
              <w:rPr>
                <w:noProof/>
                <w:lang w:eastAsia="en-GB"/>
              </w:rPr>
              <mc:AlternateContent>
                <mc:Choice Requires="wps">
                  <w:drawing>
                    <wp:anchor distT="0" distB="0" distL="114300" distR="114300" simplePos="0" relativeHeight="251824128" behindDoc="0" locked="0" layoutInCell="1" allowOverlap="1" wp14:anchorId="34A313F4" wp14:editId="5CB0CFA6">
                      <wp:simplePos x="0" y="0"/>
                      <wp:positionH relativeFrom="column">
                        <wp:posOffset>-19685</wp:posOffset>
                      </wp:positionH>
                      <wp:positionV relativeFrom="paragraph">
                        <wp:posOffset>80645</wp:posOffset>
                      </wp:positionV>
                      <wp:extent cx="2623820" cy="12700"/>
                      <wp:effectExtent l="0" t="0" r="24130" b="25400"/>
                      <wp:wrapNone/>
                      <wp:docPr id="2" name="Straight Connector 2"/>
                      <wp:cNvGraphicFramePr/>
                      <a:graphic xmlns:a="http://schemas.openxmlformats.org/drawingml/2006/main">
                        <a:graphicData uri="http://schemas.microsoft.com/office/word/2010/wordprocessingShape">
                          <wps:wsp>
                            <wps:cNvCnPr/>
                            <wps:spPr>
                              <a:xfrm>
                                <a:off x="0" y="0"/>
                                <a:ext cx="2623820" cy="12700"/>
                              </a:xfrm>
                              <a:prstGeom prst="line">
                                <a:avLst/>
                              </a:prstGeom>
                              <a:ln w="15875">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C6ED0DF" id="Straight Connector 2" o:spid="_x0000_s1026" style="position:absolute;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5pt,6.35pt" to="205.0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" strokecolor="#a5a5a5 [2092]" strokeweight="1.25pt"/>
                  </w:pict>
                </mc:Fallback>
              </mc:AlternateContent>
            </w:r>
          </w:p>
          <w:p w14:paraId="7DDEC099" w14:textId="77777777" w:rsidR="00525390" w:rsidRPr="00F03966" w:rsidRDefault="00525390" w:rsidP="007F232D">
            <w:pPr>
              <w:pStyle w:val="Disclaimer"/>
            </w:pPr>
          </w:p>
          <w:p w14:paraId="658FAC6F" w14:textId="77777777" w:rsidR="00525390" w:rsidRPr="00B54F40" w:rsidRDefault="00525390" w:rsidP="005E7844">
            <w:pPr>
              <w:pStyle w:val="Disclaimer"/>
              <w:jc w:val="both"/>
              <w:rPr>
                <w:b/>
              </w:rPr>
            </w:pPr>
            <w:r w:rsidRPr="00B54F40">
              <w:rPr>
                <w:b/>
              </w:rPr>
              <w:t>Disclaimer</w:t>
            </w:r>
          </w:p>
          <w:p w14:paraId="53D70C18" w14:textId="77777777" w:rsidR="00CD0FD5" w:rsidRDefault="00525390" w:rsidP="005E7844">
            <w:pPr>
              <w:pStyle w:val="Disclaimer"/>
              <w:jc w:val="both"/>
            </w:pPr>
            <w:r w:rsidRPr="007F232D">
              <w:t xml:space="preserve">Whilst every effort has been made to ensure the accuracy of the material in this document, neither Centre for Economics and Business Research Ltd nor the report’s authors will be liable for any </w:t>
            </w:r>
            <w:proofErr w:type="gramStart"/>
            <w:r w:rsidRPr="007F232D">
              <w:t>loss</w:t>
            </w:r>
            <w:proofErr w:type="gramEnd"/>
            <w:r w:rsidRPr="007F232D">
              <w:t xml:space="preserve"> or damages incurred through the use of the report.</w:t>
            </w:r>
            <w:r w:rsidR="00CD0FD5">
              <w:t xml:space="preserve"> </w:t>
            </w:r>
          </w:p>
          <w:p w14:paraId="7BF7D287" w14:textId="77777777" w:rsidR="00525390" w:rsidRPr="00B54F40" w:rsidRDefault="00525390" w:rsidP="005E7844">
            <w:pPr>
              <w:pStyle w:val="Disclaimer"/>
              <w:jc w:val="both"/>
              <w:rPr>
                <w:b/>
              </w:rPr>
            </w:pPr>
            <w:r w:rsidRPr="00B54F40">
              <w:rPr>
                <w:b/>
              </w:rPr>
              <w:t>Authorship and acknowledgements</w:t>
            </w:r>
          </w:p>
          <w:p w14:paraId="6D546EC4" w14:textId="464A719F" w:rsidR="00525390" w:rsidRPr="007F232D" w:rsidRDefault="00525390" w:rsidP="005E7844">
            <w:pPr>
              <w:pStyle w:val="Disclaimer"/>
              <w:jc w:val="both"/>
            </w:pPr>
            <w:r w:rsidRPr="007F232D">
              <w:t>This report has been produced by Cebr, an independent economics and business research consultancy established in 1992. The views expressed herein are those of the authors only and are based upon independent research by them.</w:t>
            </w:r>
          </w:p>
          <w:p w14:paraId="7E107715" w14:textId="4C080E1C" w:rsidR="00525390" w:rsidRPr="00F03966" w:rsidRDefault="00525390" w:rsidP="005E7844">
            <w:pPr>
              <w:pStyle w:val="Disclaimer"/>
              <w:jc w:val="both"/>
            </w:pPr>
            <w:r w:rsidRPr="007F232D">
              <w:t>The report does not necessarily reflect the views o</w:t>
            </w:r>
            <w:r w:rsidR="002E1648">
              <w:t>f</w:t>
            </w:r>
            <w:r w:rsidR="00164A0E">
              <w:t xml:space="preserve"> the</w:t>
            </w:r>
            <w:r w:rsidR="002E1648">
              <w:t xml:space="preserve"> </w:t>
            </w:r>
            <w:r w:rsidR="00164A0E">
              <w:t>NHF</w:t>
            </w:r>
            <w:r w:rsidR="002E1648">
              <w:t>.</w:t>
            </w:r>
          </w:p>
          <w:p w14:paraId="2ACF5567" w14:textId="77777777" w:rsidR="002E1648" w:rsidRDefault="002E1648" w:rsidP="002E1648">
            <w:pPr>
              <w:pStyle w:val="Disclaimer"/>
              <w:jc w:val="right"/>
            </w:pPr>
          </w:p>
          <w:p w14:paraId="58B55AC3" w14:textId="01D7E6CD" w:rsidR="00525390" w:rsidRPr="00F03966" w:rsidRDefault="00525390" w:rsidP="002E1648">
            <w:pPr>
              <w:pStyle w:val="Disclaimer"/>
              <w:jc w:val="right"/>
            </w:pPr>
            <w:r w:rsidRPr="00F03966">
              <w:t xml:space="preserve">London, </w:t>
            </w:r>
            <w:r w:rsidR="005E7844">
              <w:t>April</w:t>
            </w:r>
            <w:r w:rsidR="002E1648">
              <w:t xml:space="preserve"> 202</w:t>
            </w:r>
            <w:r w:rsidR="005E7844">
              <w:t>4</w:t>
            </w:r>
          </w:p>
        </w:tc>
        <w:tc>
          <w:tcPr>
            <w:tcW w:w="4110" w:type="dxa"/>
          </w:tcPr>
          <w:p w14:paraId="4067C7AD" w14:textId="77777777" w:rsidR="00525390" w:rsidRPr="00F03966" w:rsidRDefault="00525390" w:rsidP="007F232D">
            <w:pPr>
              <w:pStyle w:val="Disclaimer"/>
            </w:pPr>
          </w:p>
        </w:tc>
      </w:tr>
    </w:tbl>
    <w:bookmarkStart w:id="0" w:name="_Toc527543590" w:displacedByCustomXml="next"/>
    <w:bookmarkEnd w:id="0" w:displacedByCustomXml="next"/>
    <w:bookmarkStart w:id="1" w:name="_Toc489373411" w:displacedByCustomXml="next"/>
    <w:bookmarkEnd w:id="1" w:displacedByCustomXml="next"/>
    <w:bookmarkStart w:id="2" w:name="_Toc489373412" w:displacedByCustomXml="next"/>
    <w:bookmarkEnd w:id="2" w:displacedByCustomXml="next"/>
    <w:bookmarkStart w:id="3" w:name="_Toc489373414" w:displacedByCustomXml="next"/>
    <w:bookmarkEnd w:id="3" w:displacedByCustomXml="next"/>
    <w:bookmarkStart w:id="4" w:name="_Toc489373415" w:displacedByCustomXml="next"/>
    <w:bookmarkEnd w:id="4" w:displacedByCustomXml="next"/>
    <w:bookmarkStart w:id="5" w:name="_Toc17814123" w:displacedByCustomXml="next"/>
    <w:bookmarkStart w:id="6" w:name="_Toc17814056" w:displacedByCustomXml="next"/>
    <w:sdt>
      <w:sdtPr>
        <w:rPr>
          <w:rFonts w:ascii="Helvetica Neue LT Std 65 Medium" w:eastAsiaTheme="minorEastAsia" w:hAnsi="Helvetica Neue LT Std 65 Medium" w:cs="Times New Roman"/>
          <w:b w:val="0"/>
          <w:bCs w:val="0"/>
          <w:color w:val="40403E"/>
          <w:sz w:val="22"/>
          <w:szCs w:val="20"/>
          <w:lang w:val="en-GB" w:eastAsia="zh-TW"/>
        </w:rPr>
        <w:id w:val="1661264529"/>
        <w:docPartObj>
          <w:docPartGallery w:val="Table of Contents"/>
          <w:docPartUnique/>
        </w:docPartObj>
      </w:sdtPr>
      <w:sdtEndPr>
        <w:rPr>
          <w:noProof/>
        </w:rPr>
      </w:sdtEndPr>
      <w:sdtContent>
        <w:p w14:paraId="0FB138BF" w14:textId="7D5B4566" w:rsidR="008F062E" w:rsidRDefault="008F062E">
          <w:pPr>
            <w:pStyle w:val="TOCHeading"/>
          </w:pPr>
          <w:r>
            <w:t>Contents</w:t>
          </w:r>
        </w:p>
        <w:p w14:paraId="3ED3EE18" w14:textId="717E8458" w:rsidR="000E1CC5" w:rsidRDefault="00A208F6">
          <w:pPr>
            <w:pStyle w:val="TOC1"/>
            <w:tabs>
              <w:tab w:val="left" w:pos="660"/>
            </w:tabs>
            <w:rPr>
              <w:rFonts w:asciiTheme="minorHAnsi" w:hAnsiTheme="minorHAnsi" w:cstheme="minorBidi"/>
              <w:b w:val="0"/>
              <w:bCs w:val="0"/>
              <w:noProof/>
              <w:color w:val="auto"/>
              <w:sz w:val="22"/>
              <w:szCs w:val="22"/>
              <w:lang w:eastAsia="en-GB"/>
            </w:rPr>
          </w:pPr>
          <w:r>
            <w:rPr>
              <w:rFonts w:ascii="HelveticaNeueLT Std Med" w:hAnsi="HelveticaNeueLT Std Med" w:cstheme="minorHAnsi"/>
              <w:b w:val="0"/>
              <w:bCs w:val="0"/>
              <w:color w:val="262626" w:themeColor="text1" w:themeTint="D9"/>
              <w:szCs w:val="22"/>
            </w:rPr>
            <w:fldChar w:fldCharType="begin"/>
          </w:r>
          <w:r>
            <w:rPr>
              <w:rFonts w:ascii="HelveticaNeueLT Std Med" w:hAnsi="HelveticaNeueLT Std Med" w:cstheme="minorHAnsi"/>
              <w:b w:val="0"/>
              <w:bCs w:val="0"/>
              <w:color w:val="262626" w:themeColor="text1" w:themeTint="D9"/>
              <w:szCs w:val="22"/>
            </w:rPr>
            <w:instrText xml:space="preserve"> TOC \o "1-3" \h \z \u </w:instrText>
          </w:r>
          <w:r>
            <w:rPr>
              <w:rFonts w:ascii="HelveticaNeueLT Std Med" w:hAnsi="HelveticaNeueLT Std Med" w:cstheme="minorHAnsi"/>
              <w:b w:val="0"/>
              <w:bCs w:val="0"/>
              <w:color w:val="262626" w:themeColor="text1" w:themeTint="D9"/>
              <w:szCs w:val="22"/>
            </w:rPr>
            <w:fldChar w:fldCharType="separate"/>
          </w:r>
          <w:hyperlink w:anchor="_Toc66786713" w:history="1">
            <w:r w:rsidR="000E1CC5" w:rsidRPr="00F12F63">
              <w:rPr>
                <w:rStyle w:val="Hyperlink"/>
                <w:noProof/>
              </w:rPr>
              <w:t>1.</w:t>
            </w:r>
            <w:r w:rsidR="000E1CC5">
              <w:rPr>
                <w:rFonts w:asciiTheme="minorHAnsi" w:hAnsiTheme="minorHAnsi" w:cstheme="minorBidi"/>
                <w:b w:val="0"/>
                <w:bCs w:val="0"/>
                <w:noProof/>
                <w:color w:val="auto"/>
                <w:sz w:val="22"/>
                <w:szCs w:val="22"/>
                <w:lang w:eastAsia="en-GB"/>
              </w:rPr>
              <w:tab/>
            </w:r>
            <w:r w:rsidR="000E1CC5" w:rsidRPr="00F12F63">
              <w:rPr>
                <w:rStyle w:val="Hyperlink"/>
                <w:noProof/>
              </w:rPr>
              <w:t>Introduction</w:t>
            </w:r>
            <w:r w:rsidR="000E1CC5">
              <w:rPr>
                <w:noProof/>
                <w:webHidden/>
              </w:rPr>
              <w:tab/>
            </w:r>
            <w:r w:rsidR="000E1CC5">
              <w:rPr>
                <w:noProof/>
                <w:webHidden/>
              </w:rPr>
              <w:fldChar w:fldCharType="begin"/>
            </w:r>
            <w:r w:rsidR="000E1CC5">
              <w:rPr>
                <w:noProof/>
                <w:webHidden/>
              </w:rPr>
              <w:instrText xml:space="preserve"> PAGEREF _Toc66786713 \h </w:instrText>
            </w:r>
            <w:r w:rsidR="000E1CC5">
              <w:rPr>
                <w:noProof/>
                <w:webHidden/>
              </w:rPr>
            </w:r>
            <w:r w:rsidR="000E1CC5">
              <w:rPr>
                <w:noProof/>
                <w:webHidden/>
              </w:rPr>
              <w:fldChar w:fldCharType="separate"/>
            </w:r>
            <w:r w:rsidR="000E1CC5">
              <w:rPr>
                <w:noProof/>
                <w:webHidden/>
              </w:rPr>
              <w:t>4</w:t>
            </w:r>
            <w:r w:rsidR="000E1CC5">
              <w:rPr>
                <w:noProof/>
                <w:webHidden/>
              </w:rPr>
              <w:fldChar w:fldCharType="end"/>
            </w:r>
          </w:hyperlink>
        </w:p>
        <w:p w14:paraId="6361EAA7" w14:textId="7695E151" w:rsidR="000E1CC5" w:rsidRDefault="002C3BC0">
          <w:pPr>
            <w:pStyle w:val="TOC1"/>
            <w:tabs>
              <w:tab w:val="left" w:pos="660"/>
            </w:tabs>
            <w:rPr>
              <w:rFonts w:asciiTheme="minorHAnsi" w:hAnsiTheme="minorHAnsi" w:cstheme="minorBidi"/>
              <w:b w:val="0"/>
              <w:bCs w:val="0"/>
              <w:noProof/>
              <w:color w:val="auto"/>
              <w:sz w:val="22"/>
              <w:szCs w:val="22"/>
              <w:lang w:eastAsia="en-GB"/>
            </w:rPr>
          </w:pPr>
          <w:hyperlink w:anchor="_Toc66786714" w:history="1">
            <w:r w:rsidR="000E1CC5" w:rsidRPr="00F12F63">
              <w:rPr>
                <w:rStyle w:val="Hyperlink"/>
                <w:noProof/>
              </w:rPr>
              <w:t>2.</w:t>
            </w:r>
            <w:r w:rsidR="000E1CC5">
              <w:rPr>
                <w:rFonts w:asciiTheme="minorHAnsi" w:hAnsiTheme="minorHAnsi" w:cstheme="minorBidi"/>
                <w:b w:val="0"/>
                <w:bCs w:val="0"/>
                <w:noProof/>
                <w:color w:val="auto"/>
                <w:sz w:val="22"/>
                <w:szCs w:val="22"/>
                <w:lang w:eastAsia="en-GB"/>
              </w:rPr>
              <w:tab/>
            </w:r>
            <w:r w:rsidR="000E1CC5" w:rsidRPr="00F12F63">
              <w:rPr>
                <w:rStyle w:val="Hyperlink"/>
                <w:noProof/>
              </w:rPr>
              <w:t>Key aspects of the underlying methodology</w:t>
            </w:r>
            <w:r w:rsidR="000E1CC5">
              <w:rPr>
                <w:noProof/>
                <w:webHidden/>
              </w:rPr>
              <w:tab/>
            </w:r>
            <w:r w:rsidR="000E1CC5">
              <w:rPr>
                <w:noProof/>
                <w:webHidden/>
              </w:rPr>
              <w:fldChar w:fldCharType="begin"/>
            </w:r>
            <w:r w:rsidR="000E1CC5">
              <w:rPr>
                <w:noProof/>
                <w:webHidden/>
              </w:rPr>
              <w:instrText xml:space="preserve"> PAGEREF _Toc66786714 \h </w:instrText>
            </w:r>
            <w:r w:rsidR="000E1CC5">
              <w:rPr>
                <w:noProof/>
                <w:webHidden/>
              </w:rPr>
            </w:r>
            <w:r w:rsidR="000E1CC5">
              <w:rPr>
                <w:noProof/>
                <w:webHidden/>
              </w:rPr>
              <w:fldChar w:fldCharType="separate"/>
            </w:r>
            <w:r w:rsidR="000E1CC5">
              <w:rPr>
                <w:noProof/>
                <w:webHidden/>
              </w:rPr>
              <w:t>6</w:t>
            </w:r>
            <w:r w:rsidR="000E1CC5">
              <w:rPr>
                <w:noProof/>
                <w:webHidden/>
              </w:rPr>
              <w:fldChar w:fldCharType="end"/>
            </w:r>
          </w:hyperlink>
        </w:p>
        <w:p w14:paraId="3E740400" w14:textId="3E597848" w:rsidR="000E1CC5" w:rsidRDefault="002C3BC0">
          <w:pPr>
            <w:pStyle w:val="TOC1"/>
            <w:tabs>
              <w:tab w:val="left" w:pos="660"/>
            </w:tabs>
            <w:rPr>
              <w:rFonts w:asciiTheme="minorHAnsi" w:hAnsiTheme="minorHAnsi" w:cstheme="minorBidi"/>
              <w:b w:val="0"/>
              <w:bCs w:val="0"/>
              <w:noProof/>
              <w:color w:val="auto"/>
              <w:sz w:val="22"/>
              <w:szCs w:val="22"/>
              <w:lang w:eastAsia="en-GB"/>
            </w:rPr>
          </w:pPr>
          <w:hyperlink w:anchor="_Toc66786715" w:history="1">
            <w:r w:rsidR="000E1CC5" w:rsidRPr="00F12F63">
              <w:rPr>
                <w:rStyle w:val="Hyperlink"/>
                <w:noProof/>
              </w:rPr>
              <w:t>3.</w:t>
            </w:r>
            <w:r w:rsidR="000E1CC5">
              <w:rPr>
                <w:rFonts w:asciiTheme="minorHAnsi" w:hAnsiTheme="minorHAnsi" w:cstheme="minorBidi"/>
                <w:b w:val="0"/>
                <w:bCs w:val="0"/>
                <w:noProof/>
                <w:color w:val="auto"/>
                <w:sz w:val="22"/>
                <w:szCs w:val="22"/>
                <w:lang w:eastAsia="en-GB"/>
              </w:rPr>
              <w:tab/>
            </w:r>
            <w:r w:rsidR="000E1CC5" w:rsidRPr="00F12F63">
              <w:rPr>
                <w:rStyle w:val="Hyperlink"/>
                <w:noProof/>
              </w:rPr>
              <w:t>Economic impact of Housing Associations</w:t>
            </w:r>
            <w:r w:rsidR="000E1CC5">
              <w:rPr>
                <w:noProof/>
                <w:webHidden/>
              </w:rPr>
              <w:tab/>
            </w:r>
            <w:r w:rsidR="000E1CC5">
              <w:rPr>
                <w:noProof/>
                <w:webHidden/>
              </w:rPr>
              <w:fldChar w:fldCharType="begin"/>
            </w:r>
            <w:r w:rsidR="000E1CC5">
              <w:rPr>
                <w:noProof/>
                <w:webHidden/>
              </w:rPr>
              <w:instrText xml:space="preserve"> PAGEREF _Toc66786715 \h </w:instrText>
            </w:r>
            <w:r w:rsidR="000E1CC5">
              <w:rPr>
                <w:noProof/>
                <w:webHidden/>
              </w:rPr>
            </w:r>
            <w:r w:rsidR="000E1CC5">
              <w:rPr>
                <w:noProof/>
                <w:webHidden/>
              </w:rPr>
              <w:fldChar w:fldCharType="separate"/>
            </w:r>
            <w:r w:rsidR="000E1CC5">
              <w:rPr>
                <w:noProof/>
                <w:webHidden/>
              </w:rPr>
              <w:t>8</w:t>
            </w:r>
            <w:r w:rsidR="000E1CC5">
              <w:rPr>
                <w:noProof/>
                <w:webHidden/>
              </w:rPr>
              <w:fldChar w:fldCharType="end"/>
            </w:r>
          </w:hyperlink>
        </w:p>
        <w:p w14:paraId="03CA4D18" w14:textId="3B758172" w:rsidR="000E1CC5" w:rsidRDefault="002C3BC0">
          <w:pPr>
            <w:pStyle w:val="TOC1"/>
            <w:tabs>
              <w:tab w:val="left" w:pos="660"/>
            </w:tabs>
            <w:rPr>
              <w:rFonts w:asciiTheme="minorHAnsi" w:hAnsiTheme="minorHAnsi" w:cstheme="minorBidi"/>
              <w:b w:val="0"/>
              <w:bCs w:val="0"/>
              <w:noProof/>
              <w:color w:val="auto"/>
              <w:sz w:val="22"/>
              <w:szCs w:val="22"/>
              <w:lang w:eastAsia="en-GB"/>
            </w:rPr>
          </w:pPr>
          <w:hyperlink w:anchor="_Toc66786716" w:history="1">
            <w:r w:rsidR="000E1CC5" w:rsidRPr="00F12F63">
              <w:rPr>
                <w:rStyle w:val="Hyperlink"/>
                <w:noProof/>
              </w:rPr>
              <w:t>4.</w:t>
            </w:r>
            <w:r w:rsidR="000E1CC5">
              <w:rPr>
                <w:rFonts w:asciiTheme="minorHAnsi" w:hAnsiTheme="minorHAnsi" w:cstheme="minorBidi"/>
                <w:b w:val="0"/>
                <w:bCs w:val="0"/>
                <w:noProof/>
                <w:color w:val="auto"/>
                <w:sz w:val="22"/>
                <w:szCs w:val="22"/>
                <w:lang w:eastAsia="en-GB"/>
              </w:rPr>
              <w:tab/>
            </w:r>
            <w:r w:rsidR="000E1CC5" w:rsidRPr="00F12F63">
              <w:rPr>
                <w:rStyle w:val="Hyperlink"/>
                <w:noProof/>
              </w:rPr>
              <w:t>Economic impact of HA investments in new affordable homes</w:t>
            </w:r>
            <w:r w:rsidR="000E1CC5">
              <w:rPr>
                <w:noProof/>
                <w:webHidden/>
              </w:rPr>
              <w:tab/>
            </w:r>
            <w:r w:rsidR="000E1CC5">
              <w:rPr>
                <w:noProof/>
                <w:webHidden/>
              </w:rPr>
              <w:fldChar w:fldCharType="begin"/>
            </w:r>
            <w:r w:rsidR="000E1CC5">
              <w:rPr>
                <w:noProof/>
                <w:webHidden/>
              </w:rPr>
              <w:instrText xml:space="preserve"> PAGEREF _Toc66786716 \h </w:instrText>
            </w:r>
            <w:r w:rsidR="000E1CC5">
              <w:rPr>
                <w:noProof/>
                <w:webHidden/>
              </w:rPr>
            </w:r>
            <w:r w:rsidR="000E1CC5">
              <w:rPr>
                <w:noProof/>
                <w:webHidden/>
              </w:rPr>
              <w:fldChar w:fldCharType="separate"/>
            </w:r>
            <w:r w:rsidR="000E1CC5">
              <w:rPr>
                <w:noProof/>
                <w:webHidden/>
              </w:rPr>
              <w:t>11</w:t>
            </w:r>
            <w:r w:rsidR="000E1CC5">
              <w:rPr>
                <w:noProof/>
                <w:webHidden/>
              </w:rPr>
              <w:fldChar w:fldCharType="end"/>
            </w:r>
          </w:hyperlink>
        </w:p>
        <w:p w14:paraId="02FC4413" w14:textId="2163AD50" w:rsidR="000E1CC5" w:rsidRDefault="002C3BC0">
          <w:pPr>
            <w:pStyle w:val="TOC1"/>
            <w:tabs>
              <w:tab w:val="left" w:pos="660"/>
            </w:tabs>
            <w:rPr>
              <w:rFonts w:asciiTheme="minorHAnsi" w:hAnsiTheme="minorHAnsi" w:cstheme="minorBidi"/>
              <w:b w:val="0"/>
              <w:bCs w:val="0"/>
              <w:noProof/>
              <w:color w:val="auto"/>
              <w:sz w:val="22"/>
              <w:szCs w:val="22"/>
              <w:lang w:eastAsia="en-GB"/>
            </w:rPr>
          </w:pPr>
          <w:hyperlink w:anchor="_Toc66786717" w:history="1">
            <w:r w:rsidR="000E1CC5" w:rsidRPr="00F12F63">
              <w:rPr>
                <w:rStyle w:val="Hyperlink"/>
                <w:noProof/>
              </w:rPr>
              <w:t>5.</w:t>
            </w:r>
            <w:r w:rsidR="000E1CC5">
              <w:rPr>
                <w:rFonts w:asciiTheme="minorHAnsi" w:hAnsiTheme="minorHAnsi" w:cstheme="minorBidi"/>
                <w:b w:val="0"/>
                <w:bCs w:val="0"/>
                <w:noProof/>
                <w:color w:val="auto"/>
                <w:sz w:val="22"/>
                <w:szCs w:val="22"/>
                <w:lang w:eastAsia="en-GB"/>
              </w:rPr>
              <w:tab/>
            </w:r>
            <w:r w:rsidR="000E1CC5" w:rsidRPr="00F12F63">
              <w:rPr>
                <w:rStyle w:val="Hyperlink"/>
                <w:noProof/>
              </w:rPr>
              <w:t>Application of the modelling framework</w:t>
            </w:r>
            <w:r w:rsidR="000E1CC5">
              <w:rPr>
                <w:noProof/>
                <w:webHidden/>
              </w:rPr>
              <w:tab/>
            </w:r>
            <w:r w:rsidR="000E1CC5">
              <w:rPr>
                <w:noProof/>
                <w:webHidden/>
              </w:rPr>
              <w:fldChar w:fldCharType="begin"/>
            </w:r>
            <w:r w:rsidR="000E1CC5">
              <w:rPr>
                <w:noProof/>
                <w:webHidden/>
              </w:rPr>
              <w:instrText xml:space="preserve"> PAGEREF _Toc66786717 \h </w:instrText>
            </w:r>
            <w:r w:rsidR="000E1CC5">
              <w:rPr>
                <w:noProof/>
                <w:webHidden/>
              </w:rPr>
            </w:r>
            <w:r w:rsidR="000E1CC5">
              <w:rPr>
                <w:noProof/>
                <w:webHidden/>
              </w:rPr>
              <w:fldChar w:fldCharType="separate"/>
            </w:r>
            <w:r w:rsidR="000E1CC5">
              <w:rPr>
                <w:noProof/>
                <w:webHidden/>
              </w:rPr>
              <w:t>15</w:t>
            </w:r>
            <w:r w:rsidR="000E1CC5">
              <w:rPr>
                <w:noProof/>
                <w:webHidden/>
              </w:rPr>
              <w:fldChar w:fldCharType="end"/>
            </w:r>
          </w:hyperlink>
        </w:p>
        <w:p w14:paraId="22CC42C7" w14:textId="5CB2B0BD" w:rsidR="000E1CC5" w:rsidRDefault="002C3BC0">
          <w:pPr>
            <w:pStyle w:val="TOC2"/>
            <w:tabs>
              <w:tab w:val="left" w:pos="1440"/>
            </w:tabs>
            <w:rPr>
              <w:rFonts w:cstheme="minorBidi"/>
              <w:b w:val="0"/>
              <w:bCs w:val="0"/>
              <w:noProof/>
              <w:color w:val="auto"/>
              <w:szCs w:val="22"/>
              <w:lang w:eastAsia="en-GB"/>
            </w:rPr>
          </w:pPr>
          <w:hyperlink w:anchor="_Toc66786718" w:history="1">
            <w:r w:rsidR="000E1CC5" w:rsidRPr="00F12F63">
              <w:rPr>
                <w:rStyle w:val="Hyperlink"/>
                <w:noProof/>
              </w:rPr>
              <w:t>5.1</w:t>
            </w:r>
            <w:r w:rsidR="000E1CC5">
              <w:rPr>
                <w:rFonts w:cstheme="minorBidi"/>
                <w:b w:val="0"/>
                <w:bCs w:val="0"/>
                <w:noProof/>
                <w:color w:val="auto"/>
                <w:szCs w:val="22"/>
                <w:lang w:eastAsia="en-GB"/>
              </w:rPr>
              <w:tab/>
            </w:r>
            <w:r w:rsidR="000E1CC5" w:rsidRPr="00F12F63">
              <w:rPr>
                <w:rStyle w:val="Hyperlink"/>
                <w:noProof/>
              </w:rPr>
              <w:t>Completing the embedding process</w:t>
            </w:r>
            <w:r w:rsidR="000E1CC5">
              <w:rPr>
                <w:noProof/>
                <w:webHidden/>
              </w:rPr>
              <w:tab/>
            </w:r>
            <w:r w:rsidR="000E1CC5">
              <w:rPr>
                <w:noProof/>
                <w:webHidden/>
              </w:rPr>
              <w:fldChar w:fldCharType="begin"/>
            </w:r>
            <w:r w:rsidR="000E1CC5">
              <w:rPr>
                <w:noProof/>
                <w:webHidden/>
              </w:rPr>
              <w:instrText xml:space="preserve"> PAGEREF _Toc66786718 \h </w:instrText>
            </w:r>
            <w:r w:rsidR="000E1CC5">
              <w:rPr>
                <w:noProof/>
                <w:webHidden/>
              </w:rPr>
            </w:r>
            <w:r w:rsidR="000E1CC5">
              <w:rPr>
                <w:noProof/>
                <w:webHidden/>
              </w:rPr>
              <w:fldChar w:fldCharType="separate"/>
            </w:r>
            <w:r w:rsidR="000E1CC5">
              <w:rPr>
                <w:noProof/>
                <w:webHidden/>
              </w:rPr>
              <w:t>15</w:t>
            </w:r>
            <w:r w:rsidR="000E1CC5">
              <w:rPr>
                <w:noProof/>
                <w:webHidden/>
              </w:rPr>
              <w:fldChar w:fldCharType="end"/>
            </w:r>
          </w:hyperlink>
        </w:p>
        <w:p w14:paraId="112A96C7" w14:textId="30C106FC" w:rsidR="000E1CC5" w:rsidRDefault="002C3BC0">
          <w:pPr>
            <w:pStyle w:val="TOC2"/>
            <w:tabs>
              <w:tab w:val="left" w:pos="1440"/>
            </w:tabs>
            <w:rPr>
              <w:rFonts w:cstheme="minorBidi"/>
              <w:b w:val="0"/>
              <w:bCs w:val="0"/>
              <w:noProof/>
              <w:color w:val="auto"/>
              <w:szCs w:val="22"/>
              <w:lang w:eastAsia="en-GB"/>
            </w:rPr>
          </w:pPr>
          <w:hyperlink w:anchor="_Toc66786719" w:history="1">
            <w:r w:rsidR="000E1CC5" w:rsidRPr="00F12F63">
              <w:rPr>
                <w:rStyle w:val="Hyperlink"/>
                <w:noProof/>
              </w:rPr>
              <w:t>5.2</w:t>
            </w:r>
            <w:r w:rsidR="000E1CC5">
              <w:rPr>
                <w:rFonts w:cstheme="minorBidi"/>
                <w:b w:val="0"/>
                <w:bCs w:val="0"/>
                <w:noProof/>
                <w:color w:val="auto"/>
                <w:szCs w:val="22"/>
                <w:lang w:eastAsia="en-GB"/>
              </w:rPr>
              <w:tab/>
            </w:r>
            <w:r w:rsidR="000E1CC5" w:rsidRPr="00F12F63">
              <w:rPr>
                <w:rStyle w:val="Hyperlink"/>
                <w:noProof/>
              </w:rPr>
              <w:t>Multiplier impacts based on Leontief input-output framework</w:t>
            </w:r>
            <w:r w:rsidR="000E1CC5">
              <w:rPr>
                <w:noProof/>
                <w:webHidden/>
              </w:rPr>
              <w:tab/>
            </w:r>
            <w:r w:rsidR="000E1CC5">
              <w:rPr>
                <w:noProof/>
                <w:webHidden/>
              </w:rPr>
              <w:fldChar w:fldCharType="begin"/>
            </w:r>
            <w:r w:rsidR="000E1CC5">
              <w:rPr>
                <w:noProof/>
                <w:webHidden/>
              </w:rPr>
              <w:instrText xml:space="preserve"> PAGEREF _Toc66786719 \h </w:instrText>
            </w:r>
            <w:r w:rsidR="000E1CC5">
              <w:rPr>
                <w:noProof/>
                <w:webHidden/>
              </w:rPr>
            </w:r>
            <w:r w:rsidR="000E1CC5">
              <w:rPr>
                <w:noProof/>
                <w:webHidden/>
              </w:rPr>
              <w:fldChar w:fldCharType="separate"/>
            </w:r>
            <w:r w:rsidR="000E1CC5">
              <w:rPr>
                <w:noProof/>
                <w:webHidden/>
              </w:rPr>
              <w:t>16</w:t>
            </w:r>
            <w:r w:rsidR="000E1CC5">
              <w:rPr>
                <w:noProof/>
                <w:webHidden/>
              </w:rPr>
              <w:fldChar w:fldCharType="end"/>
            </w:r>
          </w:hyperlink>
        </w:p>
        <w:p w14:paraId="29E7098A" w14:textId="669EDE36" w:rsidR="000E1CC5" w:rsidRDefault="002C3BC0">
          <w:pPr>
            <w:pStyle w:val="TOC2"/>
            <w:tabs>
              <w:tab w:val="left" w:pos="1440"/>
            </w:tabs>
            <w:rPr>
              <w:rFonts w:cstheme="minorBidi"/>
              <w:b w:val="0"/>
              <w:bCs w:val="0"/>
              <w:noProof/>
              <w:color w:val="auto"/>
              <w:szCs w:val="22"/>
              <w:lang w:eastAsia="en-GB"/>
            </w:rPr>
          </w:pPr>
          <w:hyperlink w:anchor="_Toc66786720" w:history="1">
            <w:r w:rsidR="000E1CC5" w:rsidRPr="00F12F63">
              <w:rPr>
                <w:rStyle w:val="Hyperlink"/>
                <w:noProof/>
              </w:rPr>
              <w:t>5.3</w:t>
            </w:r>
            <w:r w:rsidR="000E1CC5">
              <w:rPr>
                <w:rFonts w:cstheme="minorBidi"/>
                <w:b w:val="0"/>
                <w:bCs w:val="0"/>
                <w:noProof/>
                <w:color w:val="auto"/>
                <w:szCs w:val="22"/>
                <w:lang w:eastAsia="en-GB"/>
              </w:rPr>
              <w:tab/>
            </w:r>
            <w:r w:rsidR="000E1CC5" w:rsidRPr="00F12F63">
              <w:rPr>
                <w:rStyle w:val="Hyperlink"/>
                <w:noProof/>
              </w:rPr>
              <w:t>Regional multiplier impacts based on location quotients</w:t>
            </w:r>
            <w:r w:rsidR="000E1CC5">
              <w:rPr>
                <w:noProof/>
                <w:webHidden/>
              </w:rPr>
              <w:tab/>
            </w:r>
            <w:r w:rsidR="000E1CC5">
              <w:rPr>
                <w:noProof/>
                <w:webHidden/>
              </w:rPr>
              <w:fldChar w:fldCharType="begin"/>
            </w:r>
            <w:r w:rsidR="000E1CC5">
              <w:rPr>
                <w:noProof/>
                <w:webHidden/>
              </w:rPr>
              <w:instrText xml:space="preserve"> PAGEREF _Toc66786720 \h </w:instrText>
            </w:r>
            <w:r w:rsidR="000E1CC5">
              <w:rPr>
                <w:noProof/>
                <w:webHidden/>
              </w:rPr>
            </w:r>
            <w:r w:rsidR="000E1CC5">
              <w:rPr>
                <w:noProof/>
                <w:webHidden/>
              </w:rPr>
              <w:fldChar w:fldCharType="separate"/>
            </w:r>
            <w:r w:rsidR="000E1CC5">
              <w:rPr>
                <w:noProof/>
                <w:webHidden/>
              </w:rPr>
              <w:t>17</w:t>
            </w:r>
            <w:r w:rsidR="000E1CC5">
              <w:rPr>
                <w:noProof/>
                <w:webHidden/>
              </w:rPr>
              <w:fldChar w:fldCharType="end"/>
            </w:r>
          </w:hyperlink>
        </w:p>
        <w:p w14:paraId="1F65C448" w14:textId="6B06CD13" w:rsidR="000E1CC5" w:rsidRDefault="002C3BC0">
          <w:pPr>
            <w:pStyle w:val="TOC1"/>
            <w:tabs>
              <w:tab w:val="left" w:pos="660"/>
            </w:tabs>
            <w:rPr>
              <w:rFonts w:asciiTheme="minorHAnsi" w:hAnsiTheme="minorHAnsi" w:cstheme="minorBidi"/>
              <w:b w:val="0"/>
              <w:bCs w:val="0"/>
              <w:noProof/>
              <w:color w:val="auto"/>
              <w:sz w:val="22"/>
              <w:szCs w:val="22"/>
              <w:lang w:eastAsia="en-GB"/>
            </w:rPr>
          </w:pPr>
          <w:hyperlink w:anchor="_Toc66786721" w:history="1">
            <w:r w:rsidR="000E1CC5" w:rsidRPr="00F12F63">
              <w:rPr>
                <w:rStyle w:val="Hyperlink"/>
                <w:noProof/>
              </w:rPr>
              <w:t>6.</w:t>
            </w:r>
            <w:r w:rsidR="000E1CC5">
              <w:rPr>
                <w:rFonts w:asciiTheme="minorHAnsi" w:hAnsiTheme="minorHAnsi" w:cstheme="minorBidi"/>
                <w:b w:val="0"/>
                <w:bCs w:val="0"/>
                <w:noProof/>
                <w:color w:val="auto"/>
                <w:sz w:val="22"/>
                <w:szCs w:val="22"/>
                <w:lang w:eastAsia="en-GB"/>
              </w:rPr>
              <w:tab/>
            </w:r>
            <w:r w:rsidR="000E1CC5" w:rsidRPr="00F12F63">
              <w:rPr>
                <w:rStyle w:val="Hyperlink"/>
                <w:noProof/>
              </w:rPr>
              <w:t>The multiplier results</w:t>
            </w:r>
            <w:r w:rsidR="000E1CC5">
              <w:rPr>
                <w:noProof/>
                <w:webHidden/>
              </w:rPr>
              <w:tab/>
            </w:r>
            <w:r w:rsidR="000E1CC5">
              <w:rPr>
                <w:noProof/>
                <w:webHidden/>
              </w:rPr>
              <w:fldChar w:fldCharType="begin"/>
            </w:r>
            <w:r w:rsidR="000E1CC5">
              <w:rPr>
                <w:noProof/>
                <w:webHidden/>
              </w:rPr>
              <w:instrText xml:space="preserve"> PAGEREF _Toc66786721 \h </w:instrText>
            </w:r>
            <w:r w:rsidR="000E1CC5">
              <w:rPr>
                <w:noProof/>
                <w:webHidden/>
              </w:rPr>
            </w:r>
            <w:r w:rsidR="000E1CC5">
              <w:rPr>
                <w:noProof/>
                <w:webHidden/>
              </w:rPr>
              <w:fldChar w:fldCharType="separate"/>
            </w:r>
            <w:r w:rsidR="000E1CC5">
              <w:rPr>
                <w:noProof/>
                <w:webHidden/>
              </w:rPr>
              <w:t>19</w:t>
            </w:r>
            <w:r w:rsidR="000E1CC5">
              <w:rPr>
                <w:noProof/>
                <w:webHidden/>
              </w:rPr>
              <w:fldChar w:fldCharType="end"/>
            </w:r>
          </w:hyperlink>
        </w:p>
        <w:p w14:paraId="1E27CD22" w14:textId="74012241" w:rsidR="000E1CC5" w:rsidRDefault="002C3BC0">
          <w:pPr>
            <w:pStyle w:val="TOC1"/>
            <w:rPr>
              <w:rFonts w:asciiTheme="minorHAnsi" w:hAnsiTheme="minorHAnsi" w:cstheme="minorBidi"/>
              <w:b w:val="0"/>
              <w:bCs w:val="0"/>
              <w:noProof/>
              <w:color w:val="auto"/>
              <w:sz w:val="22"/>
              <w:szCs w:val="22"/>
              <w:lang w:eastAsia="en-GB"/>
            </w:rPr>
          </w:pPr>
          <w:hyperlink w:anchor="_Toc66786722" w:history="1">
            <w:r w:rsidR="000E1CC5" w:rsidRPr="00F12F63">
              <w:rPr>
                <w:rStyle w:val="Hyperlink"/>
                <w:noProof/>
              </w:rPr>
              <w:t>Appendix: PREVIOUS multiplier results (2013 basis)</w:t>
            </w:r>
            <w:r w:rsidR="000E1CC5">
              <w:rPr>
                <w:noProof/>
                <w:webHidden/>
              </w:rPr>
              <w:tab/>
            </w:r>
            <w:r w:rsidR="000E1CC5">
              <w:rPr>
                <w:noProof/>
                <w:webHidden/>
              </w:rPr>
              <w:fldChar w:fldCharType="begin"/>
            </w:r>
            <w:r w:rsidR="000E1CC5">
              <w:rPr>
                <w:noProof/>
                <w:webHidden/>
              </w:rPr>
              <w:instrText xml:space="preserve"> PAGEREF _Toc66786722 \h </w:instrText>
            </w:r>
            <w:r w:rsidR="000E1CC5">
              <w:rPr>
                <w:noProof/>
                <w:webHidden/>
              </w:rPr>
            </w:r>
            <w:r w:rsidR="000E1CC5">
              <w:rPr>
                <w:noProof/>
                <w:webHidden/>
              </w:rPr>
              <w:fldChar w:fldCharType="separate"/>
            </w:r>
            <w:r w:rsidR="000E1CC5">
              <w:rPr>
                <w:noProof/>
                <w:webHidden/>
              </w:rPr>
              <w:t>21</w:t>
            </w:r>
            <w:r w:rsidR="000E1CC5">
              <w:rPr>
                <w:noProof/>
                <w:webHidden/>
              </w:rPr>
              <w:fldChar w:fldCharType="end"/>
            </w:r>
          </w:hyperlink>
        </w:p>
        <w:p w14:paraId="77F5560F" w14:textId="4FA49A94" w:rsidR="000E1CC5" w:rsidRDefault="002C3BC0">
          <w:pPr>
            <w:pStyle w:val="TOC1"/>
            <w:rPr>
              <w:rFonts w:asciiTheme="minorHAnsi" w:hAnsiTheme="minorHAnsi" w:cstheme="minorBidi"/>
              <w:b w:val="0"/>
              <w:bCs w:val="0"/>
              <w:noProof/>
              <w:color w:val="auto"/>
              <w:sz w:val="22"/>
              <w:szCs w:val="22"/>
              <w:lang w:eastAsia="en-GB"/>
            </w:rPr>
          </w:pPr>
          <w:hyperlink w:anchor="_Toc66786723" w:history="1">
            <w:r w:rsidR="000E1CC5" w:rsidRPr="00F12F63">
              <w:rPr>
                <w:rStyle w:val="Hyperlink"/>
                <w:noProof/>
              </w:rPr>
              <w:t>Appendix: PREVIOUS multiplier results (2010 basis)</w:t>
            </w:r>
            <w:r w:rsidR="000E1CC5">
              <w:rPr>
                <w:noProof/>
                <w:webHidden/>
              </w:rPr>
              <w:tab/>
            </w:r>
            <w:r w:rsidR="000E1CC5">
              <w:rPr>
                <w:noProof/>
                <w:webHidden/>
              </w:rPr>
              <w:fldChar w:fldCharType="begin"/>
            </w:r>
            <w:r w:rsidR="000E1CC5">
              <w:rPr>
                <w:noProof/>
                <w:webHidden/>
              </w:rPr>
              <w:instrText xml:space="preserve"> PAGEREF _Toc66786723 \h </w:instrText>
            </w:r>
            <w:r w:rsidR="000E1CC5">
              <w:rPr>
                <w:noProof/>
                <w:webHidden/>
              </w:rPr>
            </w:r>
            <w:r w:rsidR="000E1CC5">
              <w:rPr>
                <w:noProof/>
                <w:webHidden/>
              </w:rPr>
              <w:fldChar w:fldCharType="separate"/>
            </w:r>
            <w:r w:rsidR="000E1CC5">
              <w:rPr>
                <w:noProof/>
                <w:webHidden/>
              </w:rPr>
              <w:t>23</w:t>
            </w:r>
            <w:r w:rsidR="000E1CC5">
              <w:rPr>
                <w:noProof/>
                <w:webHidden/>
              </w:rPr>
              <w:fldChar w:fldCharType="end"/>
            </w:r>
          </w:hyperlink>
        </w:p>
        <w:p w14:paraId="72332C0A" w14:textId="19F36CF2" w:rsidR="00827330" w:rsidRPr="008127B7" w:rsidRDefault="00A208F6" w:rsidP="008127B7">
          <w:pPr>
            <w:rPr>
              <w:rStyle w:val="FootnoteReference"/>
              <w:color w:val="40403E"/>
              <w:position w:val="0"/>
              <w:sz w:val="22"/>
            </w:rPr>
            <w:sectPr w:rsidR="00827330" w:rsidRPr="008127B7" w:rsidSect="00827330">
              <w:headerReference w:type="even" r:id="rId10"/>
              <w:headerReference w:type="default" r:id="rId11"/>
              <w:footerReference w:type="default" r:id="rId12"/>
              <w:headerReference w:type="first" r:id="rId13"/>
              <w:type w:val="continuous"/>
              <w:pgSz w:w="11906" w:h="16838"/>
              <w:pgMar w:top="1440" w:right="1440" w:bottom="1440" w:left="1440" w:header="709" w:footer="709" w:gutter="0"/>
              <w:cols w:space="708"/>
              <w:docGrid w:linePitch="360"/>
            </w:sectPr>
          </w:pPr>
          <w:r>
            <w:rPr>
              <w:rFonts w:ascii="HelveticaNeueLT Std Med" w:hAnsi="HelveticaNeueLT Std Med" w:cstheme="minorHAnsi"/>
              <w:b/>
              <w:bCs/>
              <w:color w:val="262626" w:themeColor="text1" w:themeTint="D9"/>
              <w:sz w:val="24"/>
              <w:szCs w:val="22"/>
            </w:rPr>
            <w:fldChar w:fldCharType="end"/>
          </w:r>
        </w:p>
      </w:sdtContent>
    </w:sdt>
    <w:bookmarkStart w:id="7" w:name="_Toc27643008"/>
    <w:bookmarkStart w:id="8" w:name="_Toc66786713"/>
    <w:bookmarkEnd w:id="6"/>
    <w:bookmarkEnd w:id="5"/>
    <w:p w14:paraId="3D35DE3E" w14:textId="77777777" w:rsidR="002E1648" w:rsidRPr="00A3459D" w:rsidRDefault="002E1648" w:rsidP="00F76D67">
      <w:pPr>
        <w:pStyle w:val="Heading1"/>
        <w:numPr>
          <w:ilvl w:val="0"/>
          <w:numId w:val="7"/>
        </w:numPr>
        <w:spacing w:after="120"/>
        <w:rPr>
          <w:rStyle w:val="Strong"/>
          <w:rFonts w:ascii="HelveticaNeueLT Std Med" w:hAnsi="HelveticaNeueLT Std Med" w:cstheme="majorBidi"/>
          <w:b/>
          <w:bCs/>
          <w:szCs w:val="28"/>
        </w:rPr>
      </w:pPr>
      <w:r w:rsidRPr="00860965">
        <w:rPr>
          <w:rFonts w:ascii="HelveticaNeueLT Std Lt" w:hAnsi="HelveticaNeueLT Std Lt" w:cstheme="minorHAnsi"/>
          <w:b/>
          <w:noProof/>
          <w:color w:val="008C9B" w:themeColor="text2"/>
          <w:szCs w:val="22"/>
        </w:rPr>
        <w:lastRenderedPageBreak/>
        <mc:AlternateContent>
          <mc:Choice Requires="wps">
            <w:drawing>
              <wp:anchor distT="0" distB="0" distL="114300" distR="114300" simplePos="0" relativeHeight="251920384" behindDoc="0" locked="0" layoutInCell="1" allowOverlap="1" wp14:anchorId="09A2CAA6" wp14:editId="4545025E">
                <wp:simplePos x="0" y="0"/>
                <wp:positionH relativeFrom="column">
                  <wp:posOffset>-3448685</wp:posOffset>
                </wp:positionH>
                <wp:positionV relativeFrom="paragraph">
                  <wp:posOffset>708660</wp:posOffset>
                </wp:positionV>
                <wp:extent cx="401320" cy="1534160"/>
                <wp:effectExtent l="0" t="0" r="5080" b="2540"/>
                <wp:wrapNone/>
                <wp:docPr id="20" name="Rectangle 20"/>
                <wp:cNvGraphicFramePr/>
                <a:graphic xmlns:a="http://schemas.openxmlformats.org/drawingml/2006/main">
                  <a:graphicData uri="http://schemas.microsoft.com/office/word/2010/wordprocessingShape">
                    <wps:wsp>
                      <wps:cNvSpPr/>
                      <wps:spPr>
                        <a:xfrm>
                          <a:off x="0" y="0"/>
                          <a:ext cx="401320" cy="1534160"/>
                        </a:xfrm>
                        <a:prstGeom prst="rect">
                          <a:avLst/>
                        </a:prstGeom>
                        <a:solidFill>
                          <a:srgbClr val="D0D0D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2F1B77" id="Rectangle 20" o:spid="_x0000_s1026" style="position:absolute;margin-left:-271.55pt;margin-top:55.8pt;width:31.6pt;height:120.8pt;z-index:25192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" fillcolor="#d0d0d2" stroked="f" strokeweight="2pt"/>
            </w:pict>
          </mc:Fallback>
        </mc:AlternateContent>
      </w:r>
      <w:r w:rsidRPr="00860965">
        <w:rPr>
          <w:b/>
          <w:color w:val="008C9B" w:themeColor="text2"/>
        </w:rPr>
        <w:t>Introduction</w:t>
      </w:r>
      <w:bookmarkEnd w:id="7"/>
      <w:bookmarkEnd w:id="8"/>
    </w:p>
    <w:p w14:paraId="0B9003FC" w14:textId="77777777" w:rsidR="00502866" w:rsidRPr="00164A0E" w:rsidRDefault="00502866" w:rsidP="007D3E32">
      <w:pPr>
        <w:spacing w:line="276" w:lineRule="auto"/>
        <w:jc w:val="both"/>
        <w:rPr>
          <w:bCs/>
        </w:rPr>
      </w:pPr>
      <w:bookmarkStart w:id="9" w:name="_Toc27643009"/>
      <w:bookmarkStart w:id="10" w:name="_Toc66786714"/>
      <w:r>
        <w:t>This is a guide to users of the Local Economic Impacts Calculator (LEIC) that Cebr first constructed in 2013 on behalf of the National Housing Federation.</w:t>
      </w:r>
    </w:p>
    <w:p w14:paraId="2EF58555" w14:textId="77777777" w:rsidR="00502866" w:rsidRDefault="00502866" w:rsidP="007D3E32">
      <w:pPr>
        <w:spacing w:line="276" w:lineRule="auto"/>
        <w:jc w:val="both"/>
      </w:pPr>
      <w:r>
        <w:t>The point of the LEIC is to allow users (NHF housing association members) to estimate the economic impacts of their:</w:t>
      </w:r>
    </w:p>
    <w:p w14:paraId="1C08DCDB" w14:textId="77777777" w:rsidR="00502866" w:rsidRPr="00164A0E" w:rsidRDefault="00502866" w:rsidP="007D3E32">
      <w:pPr>
        <w:pStyle w:val="ListNumber2"/>
        <w:spacing w:line="276" w:lineRule="auto"/>
        <w:ind w:left="714" w:hanging="357"/>
        <w:jc w:val="both"/>
        <w:rPr>
          <w:rFonts w:eastAsiaTheme="minorEastAsia"/>
          <w:color w:val="40403E"/>
          <w:szCs w:val="20"/>
          <w:lang w:eastAsia="zh-TW"/>
        </w:rPr>
      </w:pPr>
      <w:r w:rsidRPr="00164A0E">
        <w:rPr>
          <w:rFonts w:eastAsiaTheme="minorEastAsia"/>
          <w:color w:val="40403E"/>
          <w:szCs w:val="20"/>
          <w:lang w:eastAsia="zh-TW"/>
        </w:rPr>
        <w:t xml:space="preserve">investments in new affordable housing; and </w:t>
      </w:r>
    </w:p>
    <w:p w14:paraId="1B0D8245" w14:textId="77777777" w:rsidR="00502866" w:rsidRPr="00164A0E" w:rsidRDefault="00502866" w:rsidP="007D3E32">
      <w:pPr>
        <w:pStyle w:val="ListNumber2"/>
        <w:spacing w:line="276" w:lineRule="auto"/>
        <w:ind w:left="714" w:hanging="357"/>
        <w:jc w:val="both"/>
        <w:rPr>
          <w:rFonts w:eastAsiaTheme="minorEastAsia"/>
          <w:color w:val="40403E"/>
          <w:szCs w:val="20"/>
          <w:lang w:eastAsia="zh-TW"/>
        </w:rPr>
      </w:pPr>
      <w:r w:rsidRPr="00164A0E">
        <w:rPr>
          <w:rFonts w:eastAsiaTheme="minorEastAsia"/>
          <w:color w:val="40403E"/>
          <w:szCs w:val="20"/>
          <w:lang w:eastAsia="zh-TW"/>
        </w:rPr>
        <w:t xml:space="preserve">day-to-day activities in managing their existing stocks of housing. </w:t>
      </w:r>
    </w:p>
    <w:p w14:paraId="704B5A32" w14:textId="77777777" w:rsidR="00502866" w:rsidRDefault="00502866" w:rsidP="007D3E32">
      <w:pPr>
        <w:spacing w:line="276" w:lineRule="auto"/>
        <w:jc w:val="both"/>
      </w:pPr>
      <w:r>
        <w:t>Originally, the database provided impacts at the regional, national and UK level. In 2014, the model was innovated to include a tool that could be used to estimate these impacts at the local authority (LA) and local enterprise partnership (LEP) level.</w:t>
      </w:r>
    </w:p>
    <w:p w14:paraId="15D014CC" w14:textId="77777777" w:rsidR="00502866" w:rsidRDefault="00502866" w:rsidP="007D3E32">
      <w:pPr>
        <w:spacing w:line="276" w:lineRule="auto"/>
        <w:jc w:val="both"/>
      </w:pPr>
      <w:r>
        <w:t xml:space="preserve">The LEIC produces impacts at the LA level that are derived </w:t>
      </w:r>
      <w:proofErr w:type="gramStart"/>
      <w:r>
        <w:t>on the basis of</w:t>
      </w:r>
      <w:proofErr w:type="gramEnd"/>
      <w:r>
        <w:t xml:space="preserve"> the HA user’s estimates of the proportion of the different elements of their supply chain that are provided by people or businesses located within the LA or LEP. The higher the percentage of housing investment, for example, that is supported by local goods and services, the greater the likelihood that the multiplier impacts of this investment will be realised within the locality. But it is important to note that goods and services that are not supplied within the local economy are likely to be supplied from other local authority areas, generating multiplier impacts in other parts of the UK.</w:t>
      </w:r>
    </w:p>
    <w:p w14:paraId="6ABA877C" w14:textId="77777777" w:rsidR="00502866" w:rsidRDefault="00502866" w:rsidP="007D3E32">
      <w:pPr>
        <w:spacing w:line="276" w:lineRule="auto"/>
        <w:jc w:val="both"/>
      </w:pPr>
      <w:r>
        <w:t>The 2016 update of the LEIC built in the ability to estimate impacts at the Combined Authority (CA) level. Five CAs were incorporated in 2016. The 2017 update incorporated a further four CAs, including two options for the West Midlands CA – one including constituent LAs only and one including constituents and non-constituents (candidates for inclusion).</w:t>
      </w:r>
    </w:p>
    <w:p w14:paraId="10EC94CA" w14:textId="77777777" w:rsidR="00502866" w:rsidRDefault="00502866" w:rsidP="007D3E32">
      <w:pPr>
        <w:spacing w:line="276" w:lineRule="auto"/>
        <w:jc w:val="both"/>
      </w:pPr>
      <w:r>
        <w:t xml:space="preserve">The May 2018 refresh of the database was updated to incorporate changes in the make-up of the combined authorities, including the removal of the </w:t>
      </w:r>
      <w:proofErr w:type="gramStart"/>
      <w:r>
        <w:t>North East</w:t>
      </w:r>
      <w:proofErr w:type="gramEnd"/>
      <w:r>
        <w:t xml:space="preserve"> CA and the addition of the new North of Tyne CA and changes in the local authority compositions of some of the others. It also reflected the merging of Northamptonshire LEP with </w:t>
      </w:r>
      <w:proofErr w:type="gramStart"/>
      <w:r>
        <w:t>South East</w:t>
      </w:r>
      <w:proofErr w:type="gramEnd"/>
      <w:r>
        <w:t xml:space="preserve"> Midlands LEP to create the "South East Midlands LEP" featured in the 2018 LEIC.</w:t>
      </w:r>
      <w:r w:rsidRPr="00830D25">
        <w:rPr>
          <w:rStyle w:val="FootnoteReference"/>
          <w:rFonts w:ascii="HelveticaNeueLT Std" w:hAnsi="HelveticaNeueLT Std"/>
          <w:szCs w:val="16"/>
        </w:rPr>
        <w:footnoteReference w:id="1"/>
      </w:r>
    </w:p>
    <w:p w14:paraId="5F14BCB5" w14:textId="77777777" w:rsidR="00502866" w:rsidRDefault="00502866" w:rsidP="007D3E32">
      <w:pPr>
        <w:spacing w:line="276" w:lineRule="auto"/>
        <w:jc w:val="both"/>
      </w:pPr>
      <w:r>
        <w:t xml:space="preserve">The April 2019 iteration incorporated minor changes, principally the inclusion of five new Local Authorities within the Sheffield City Region CA and the name change for the Shepway LAD to Folkestone &amp; Hythe. Up to 2018, the models and the </w:t>
      </w:r>
      <w:proofErr w:type="gramStart"/>
      <w:r>
        <w:t>estimates</w:t>
      </w:r>
      <w:proofErr w:type="gramEnd"/>
      <w:r>
        <w:t xml:space="preserve"> of the multiplier impacts they produce, were based on 2010 ONS input-output data. In 2019, the </w:t>
      </w:r>
      <w:r w:rsidRPr="00EF49A5">
        <w:t xml:space="preserve">models </w:t>
      </w:r>
      <w:r>
        <w:t>were updated to use 2013 input-output data.</w:t>
      </w:r>
    </w:p>
    <w:p w14:paraId="399855DA" w14:textId="77777777" w:rsidR="00502866" w:rsidRDefault="00502866" w:rsidP="007D3E32">
      <w:pPr>
        <w:spacing w:line="276" w:lineRule="auto"/>
        <w:jc w:val="both"/>
      </w:pPr>
      <w:r>
        <w:t xml:space="preserve">The refresh </w:t>
      </w:r>
      <w:r w:rsidRPr="00EF49A5">
        <w:t>from</w:t>
      </w:r>
      <w:r>
        <w:t xml:space="preserve"> March 2020 incorporated the creation of five new Unitary Authorities. These were East Suffolk (previously Suffolk Coastal and Waveney); West Suffolk (previously Forest Heath and St. Edmundsbury); Bournemouth, Christchurch &amp; Poole (previously three separate </w:t>
      </w:r>
      <w:r>
        <w:lastRenderedPageBreak/>
        <w:t xml:space="preserve">local authorities); Dorset Council (previously East Dorset, North Dorset, Purbeck, Weymouth &amp; </w:t>
      </w:r>
      <w:proofErr w:type="gramStart"/>
      <w:r>
        <w:t>Portland</w:t>
      </w:r>
      <w:proofErr w:type="gramEnd"/>
      <w:r>
        <w:t xml:space="preserve"> and West Dorset) and Somerset West &amp; Taunton (previously Taunton Deane and West Somerset). </w:t>
      </w:r>
    </w:p>
    <w:p w14:paraId="24226DD4" w14:textId="77777777" w:rsidR="00502866" w:rsidRDefault="00502866" w:rsidP="007D3E32">
      <w:pPr>
        <w:spacing w:line="276" w:lineRule="auto"/>
        <w:jc w:val="both"/>
      </w:pPr>
      <w:r>
        <w:t xml:space="preserve">The principal structural change reflected in the March 2021 update is the creation of a new Unitary Authority: Buckinghamshire (previously </w:t>
      </w:r>
      <w:r w:rsidRPr="00B5774C">
        <w:t>Aylesbury Vale, Chiltern, South Bucks, Wycombe</w:t>
      </w:r>
      <w:r>
        <w:t>). Moreover, a new Combined Authority (</w:t>
      </w:r>
      <w:proofErr w:type="gramStart"/>
      <w:r>
        <w:t>North East</w:t>
      </w:r>
      <w:proofErr w:type="gramEnd"/>
      <w:r>
        <w:t xml:space="preserve"> CA) has been formed and added to the model. These changes have now been fully incorporated into this year’s refresh.</w:t>
      </w:r>
    </w:p>
    <w:p w14:paraId="57DC2B7E" w14:textId="77777777" w:rsidR="00502866" w:rsidRDefault="00502866" w:rsidP="007D3E32">
      <w:pPr>
        <w:spacing w:line="276" w:lineRule="auto"/>
        <w:jc w:val="both"/>
      </w:pPr>
      <w:r>
        <w:t xml:space="preserve">The March 2022 update of LEIC introduced the North Northamptonshire (previously Corby, Kettering, Wellingborough, East Northamptonshire) and West Northamptonshire (previously Daventry, South Northamptonshire, Northampton) Unitary Authorities created at the end of March 2021. This change was partially implemented in Worksheet 5 and fully incorporated into Worksheets 3 and 4. As the raw datasets become consistent, these changes will be gradually incorporated into this worksheet. </w:t>
      </w:r>
    </w:p>
    <w:p w14:paraId="347D5392" w14:textId="77777777" w:rsidR="00502866" w:rsidRDefault="00502866" w:rsidP="007D3E32">
      <w:pPr>
        <w:spacing w:line="276" w:lineRule="auto"/>
        <w:jc w:val="both"/>
      </w:pPr>
      <w:r>
        <w:t>For this April 2024 update, there have been no regional or geographic changes. However, one key change relative to the previous 2022 iteration is that although Worksheets 3 and 4 have been updated, Worksheet 5 has not been updated after discussions with the NHF. As such, the results found in this sheet remain the same as they did in the 2022 version of the LEIC.</w:t>
      </w:r>
    </w:p>
    <w:p w14:paraId="46FBD6DD" w14:textId="77777777" w:rsidR="00502866" w:rsidRDefault="00502866" w:rsidP="007D3E32">
      <w:pPr>
        <w:spacing w:line="276" w:lineRule="auto"/>
        <w:jc w:val="both"/>
      </w:pPr>
      <w:r>
        <w:t>Pay differential for regions, Combined Authorities and Local Authorities is now compared to England, as opposed to England &amp; Wales in previous versions of LEIC. A small change was also implemented in the calculation of Combined Authority house prices for all years, making them more accurate. For Worksheet 5, local authorities that no longer exist can still be selected to view historical data, they can be found at the bottom of the drop-down list for local authorities.</w:t>
      </w:r>
    </w:p>
    <w:p w14:paraId="466EB96C" w14:textId="77777777" w:rsidR="00502866" w:rsidRDefault="00502866" w:rsidP="007D3E32">
      <w:pPr>
        <w:spacing w:line="276" w:lineRule="auto"/>
        <w:jc w:val="both"/>
      </w:pPr>
      <w:r>
        <w:t>Finally, for the past two iterations (2021 and 2022) the model had been based on 2015 ONS input-output data. In this 2024 iteration, the models have been updated to use 2019 figures, the latest input-output data available.</w:t>
      </w:r>
    </w:p>
    <w:p w14:paraId="441038D0" w14:textId="0BFF7BCC" w:rsidR="002E1648" w:rsidRPr="00860965" w:rsidRDefault="002E1648" w:rsidP="00F76D67">
      <w:pPr>
        <w:pStyle w:val="Heading1"/>
        <w:numPr>
          <w:ilvl w:val="0"/>
          <w:numId w:val="7"/>
        </w:numPr>
        <w:spacing w:after="120"/>
        <w:rPr>
          <w:b/>
          <w:bCs/>
          <w:color w:val="008C9B" w:themeColor="text2"/>
        </w:rPr>
      </w:pPr>
      <w:r w:rsidRPr="00860965">
        <w:rPr>
          <w:rFonts w:ascii="HelveticaNeueLT Std Lt" w:hAnsi="HelveticaNeueLT Std Lt" w:cstheme="minorHAnsi"/>
          <w:b/>
          <w:noProof/>
          <w:color w:val="008C9B" w:themeColor="text2"/>
          <w:szCs w:val="22"/>
        </w:rPr>
        <w:lastRenderedPageBreak/>
        <mc:AlternateContent>
          <mc:Choice Requires="wps">
            <w:drawing>
              <wp:anchor distT="0" distB="0" distL="114300" distR="114300" simplePos="0" relativeHeight="251921408" behindDoc="0" locked="0" layoutInCell="1" allowOverlap="1" wp14:anchorId="0378B59B" wp14:editId="48DBAC89">
                <wp:simplePos x="0" y="0"/>
                <wp:positionH relativeFrom="column">
                  <wp:posOffset>-3448685</wp:posOffset>
                </wp:positionH>
                <wp:positionV relativeFrom="paragraph">
                  <wp:posOffset>708660</wp:posOffset>
                </wp:positionV>
                <wp:extent cx="401320" cy="1534160"/>
                <wp:effectExtent l="0" t="0" r="5080" b="2540"/>
                <wp:wrapNone/>
                <wp:docPr id="51" name="Rectangle 51"/>
                <wp:cNvGraphicFramePr/>
                <a:graphic xmlns:a="http://schemas.openxmlformats.org/drawingml/2006/main">
                  <a:graphicData uri="http://schemas.microsoft.com/office/word/2010/wordprocessingShape">
                    <wps:wsp>
                      <wps:cNvSpPr/>
                      <wps:spPr>
                        <a:xfrm>
                          <a:off x="0" y="0"/>
                          <a:ext cx="401320" cy="1534160"/>
                        </a:xfrm>
                        <a:prstGeom prst="rect">
                          <a:avLst/>
                        </a:prstGeom>
                        <a:solidFill>
                          <a:srgbClr val="D0D0D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8FC4F8" id="Rectangle 51" o:spid="_x0000_s1026" style="position:absolute;margin-left:-271.55pt;margin-top:55.8pt;width:31.6pt;height:120.8pt;z-index:25192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" fillcolor="#d0d0d2" stroked="f" strokeweight="2pt"/>
            </w:pict>
          </mc:Fallback>
        </mc:AlternateContent>
      </w:r>
      <w:bookmarkEnd w:id="9"/>
      <w:r w:rsidR="00F76D67">
        <w:rPr>
          <w:b/>
          <w:bCs/>
          <w:color w:val="008C9B" w:themeColor="text2"/>
        </w:rPr>
        <w:t>Key aspects of the underlying methodology</w:t>
      </w:r>
      <w:bookmarkEnd w:id="10"/>
    </w:p>
    <w:p w14:paraId="08B9343A" w14:textId="77777777" w:rsidR="00BD7F46" w:rsidRDefault="00BD7F46" w:rsidP="007D3E32">
      <w:pPr>
        <w:spacing w:line="276" w:lineRule="auto"/>
        <w:jc w:val="both"/>
        <w:rPr>
          <w:rFonts w:cs="Calibri"/>
        </w:rPr>
      </w:pPr>
      <w:r>
        <w:rPr>
          <w:rFonts w:cs="Calibri"/>
        </w:rPr>
        <w:t xml:space="preserve">To estimate the impacts of investments by HAs in affordable housing or of </w:t>
      </w:r>
      <w:proofErr w:type="spellStart"/>
      <w:r>
        <w:rPr>
          <w:rFonts w:cs="Calibri"/>
        </w:rPr>
        <w:t>HAs’</w:t>
      </w:r>
      <w:proofErr w:type="spellEnd"/>
      <w:r>
        <w:rPr>
          <w:rFonts w:cs="Calibri"/>
        </w:rPr>
        <w:t xml:space="preserve"> day-to-day activities, it is necessary to co</w:t>
      </w:r>
      <w:r w:rsidRPr="007861DC">
        <w:rPr>
          <w:rFonts w:cs="Calibri"/>
        </w:rPr>
        <w:t>mbin</w:t>
      </w:r>
      <w:r>
        <w:rPr>
          <w:rFonts w:cs="Calibri"/>
        </w:rPr>
        <w:t>e</w:t>
      </w:r>
      <w:r w:rsidRPr="007861DC">
        <w:rPr>
          <w:rFonts w:cs="Calibri"/>
        </w:rPr>
        <w:t xml:space="preserve"> national statistics and </w:t>
      </w:r>
      <w:r>
        <w:rPr>
          <w:rFonts w:cs="Calibri"/>
        </w:rPr>
        <w:t xml:space="preserve">the economic data on affordable housing and housing associations that could be accessed in the public domain or that could be provided by NHF through the data it collects from its member HAs. </w:t>
      </w:r>
    </w:p>
    <w:p w14:paraId="44154087" w14:textId="77777777" w:rsidR="00BD7F46" w:rsidRPr="007861DC" w:rsidRDefault="00BD7F46" w:rsidP="007D3E32">
      <w:pPr>
        <w:spacing w:line="276" w:lineRule="auto"/>
        <w:jc w:val="both"/>
        <w:rPr>
          <w:rFonts w:cs="Calibri"/>
        </w:rPr>
      </w:pPr>
      <w:r>
        <w:rPr>
          <w:rFonts w:cs="Calibri"/>
        </w:rPr>
        <w:t>The modelling framework starts with the ONS’ supply</w:t>
      </w:r>
      <w:r w:rsidRPr="007861DC">
        <w:rPr>
          <w:rFonts w:cs="Calibri"/>
        </w:rPr>
        <w:t xml:space="preserve">-use tables, the most detailed official record of how the industries of the economy interact with other industries, with consumers and with international markets in producing the nation’s GDP and national income. </w:t>
      </w:r>
      <w:r>
        <w:rPr>
          <w:rFonts w:cs="Calibri"/>
        </w:rPr>
        <w:t xml:space="preserve">The purpose of the supply-use tables is to reconcile the three approaches to estimating GDP – the production approach, the income </w:t>
      </w:r>
      <w:proofErr w:type="gramStart"/>
      <w:r>
        <w:rPr>
          <w:rFonts w:cs="Calibri"/>
        </w:rPr>
        <w:t>approach</w:t>
      </w:r>
      <w:proofErr w:type="gramEnd"/>
      <w:r>
        <w:rPr>
          <w:rFonts w:cs="Calibri"/>
        </w:rPr>
        <w:t xml:space="preserve"> and the expenditure approach.</w:t>
      </w:r>
    </w:p>
    <w:p w14:paraId="7E59625E" w14:textId="77777777" w:rsidR="00BD7F46" w:rsidRDefault="00BD7F46" w:rsidP="007D3E32">
      <w:pPr>
        <w:spacing w:line="276" w:lineRule="auto"/>
        <w:jc w:val="both"/>
        <w:rPr>
          <w:rFonts w:cs="Calibri"/>
        </w:rPr>
      </w:pPr>
      <w:r w:rsidRPr="007861DC">
        <w:rPr>
          <w:rFonts w:cs="Calibri"/>
        </w:rPr>
        <w:t>Making use of the suppl</w:t>
      </w:r>
      <w:r>
        <w:rPr>
          <w:rFonts w:cs="Calibri"/>
        </w:rPr>
        <w:t>y-and-use framework to analyse</w:t>
      </w:r>
      <w:r w:rsidRPr="007861DC">
        <w:rPr>
          <w:rFonts w:cs="Calibri"/>
        </w:rPr>
        <w:t xml:space="preserve"> </w:t>
      </w:r>
      <w:r>
        <w:rPr>
          <w:rFonts w:cs="Calibri"/>
        </w:rPr>
        <w:t xml:space="preserve">HA investments in new affordable homes and HA day-to-day activities </w:t>
      </w:r>
      <w:r w:rsidRPr="007861DC">
        <w:rPr>
          <w:rFonts w:cs="Calibri"/>
        </w:rPr>
        <w:t xml:space="preserve">– which </w:t>
      </w:r>
      <w:r>
        <w:rPr>
          <w:rFonts w:cs="Calibri"/>
        </w:rPr>
        <w:t xml:space="preserve">are </w:t>
      </w:r>
      <w:r w:rsidRPr="007861DC">
        <w:rPr>
          <w:rFonts w:cs="Calibri"/>
        </w:rPr>
        <w:t>only subset</w:t>
      </w:r>
      <w:r>
        <w:rPr>
          <w:rFonts w:cs="Calibri"/>
        </w:rPr>
        <w:t>s</w:t>
      </w:r>
      <w:r w:rsidRPr="007861DC">
        <w:rPr>
          <w:rFonts w:cs="Calibri"/>
        </w:rPr>
        <w:t xml:space="preserve"> of </w:t>
      </w:r>
      <w:r>
        <w:rPr>
          <w:rFonts w:cs="Calibri"/>
        </w:rPr>
        <w:t>industries</w:t>
      </w:r>
      <w:r w:rsidRPr="007861DC">
        <w:rPr>
          <w:rFonts w:cs="Calibri"/>
        </w:rPr>
        <w:t xml:space="preserve"> at the level of disaggregation provided by this framework – is the best means of ensuring consistency with the national account</w:t>
      </w:r>
      <w:r>
        <w:rPr>
          <w:rFonts w:cs="Calibri"/>
        </w:rPr>
        <w:t>s</w:t>
      </w:r>
      <w:r w:rsidRPr="007861DC">
        <w:rPr>
          <w:rFonts w:cs="Calibri"/>
        </w:rPr>
        <w:t xml:space="preserve">. The process of embedding </w:t>
      </w:r>
      <w:r>
        <w:rPr>
          <w:rFonts w:cs="Calibri"/>
        </w:rPr>
        <w:t>the</w:t>
      </w:r>
      <w:r w:rsidRPr="007861DC">
        <w:rPr>
          <w:rFonts w:cs="Calibri"/>
        </w:rPr>
        <w:t xml:space="preserve"> specific </w:t>
      </w:r>
      <w:r>
        <w:rPr>
          <w:rFonts w:cs="Calibri"/>
        </w:rPr>
        <w:t>subsets of activities</w:t>
      </w:r>
      <w:r w:rsidRPr="007861DC">
        <w:rPr>
          <w:rFonts w:cs="Calibri"/>
        </w:rPr>
        <w:t xml:space="preserve"> within this framework involves assigning th</w:t>
      </w:r>
      <w:r>
        <w:rPr>
          <w:rFonts w:cs="Calibri"/>
        </w:rPr>
        <w:t>em explicit</w:t>
      </w:r>
      <w:r w:rsidRPr="007861DC">
        <w:rPr>
          <w:rFonts w:cs="Calibri"/>
        </w:rPr>
        <w:t xml:space="preserve"> role</w:t>
      </w:r>
      <w:r>
        <w:rPr>
          <w:rFonts w:cs="Calibri"/>
        </w:rPr>
        <w:t>s</w:t>
      </w:r>
      <w:r w:rsidRPr="007861DC">
        <w:rPr>
          <w:rFonts w:cs="Calibri"/>
        </w:rPr>
        <w:t xml:space="preserve"> within the supply-use tables</w:t>
      </w:r>
      <w:r>
        <w:rPr>
          <w:rFonts w:cs="Calibri"/>
        </w:rPr>
        <w:t>.</w:t>
      </w:r>
    </w:p>
    <w:p w14:paraId="461F9C7F" w14:textId="77777777" w:rsidR="00BD7F46" w:rsidRPr="002E57B1" w:rsidRDefault="00BD7F46" w:rsidP="007D3E32">
      <w:pPr>
        <w:spacing w:line="276" w:lineRule="auto"/>
        <w:jc w:val="both"/>
        <w:rPr>
          <w:rFonts w:cs="Calibri"/>
        </w:rPr>
      </w:pPr>
      <w:r>
        <w:rPr>
          <w:rFonts w:cs="Calibri"/>
        </w:rPr>
        <w:t xml:space="preserve">Having assigned roles </w:t>
      </w:r>
      <w:r w:rsidRPr="002E57B1">
        <w:rPr>
          <w:rFonts w:cs="Calibri"/>
        </w:rPr>
        <w:t>within the supply-use framework</w:t>
      </w:r>
      <w:r>
        <w:rPr>
          <w:rFonts w:cs="Calibri"/>
        </w:rPr>
        <w:t xml:space="preserve"> for each of the relevant activities of housing associations – new affordable homes investments and day-to-day management of existing stock – </w:t>
      </w:r>
      <w:r w:rsidRPr="002E57B1">
        <w:rPr>
          <w:rFonts w:cs="Calibri"/>
        </w:rPr>
        <w:t>we had the foundation for establishing</w:t>
      </w:r>
      <w:r>
        <w:rPr>
          <w:rFonts w:cs="Calibri"/>
        </w:rPr>
        <w:t>, through our input-output models</w:t>
      </w:r>
      <w:r w:rsidRPr="002E57B1">
        <w:rPr>
          <w:rFonts w:cs="Calibri"/>
        </w:rPr>
        <w:t>:</w:t>
      </w:r>
    </w:p>
    <w:p w14:paraId="45C380CA" w14:textId="77777777" w:rsidR="00BD7F46" w:rsidRPr="002E57B1" w:rsidRDefault="00BD7F46" w:rsidP="007D3E32">
      <w:pPr>
        <w:numPr>
          <w:ilvl w:val="0"/>
          <w:numId w:val="32"/>
        </w:numPr>
        <w:spacing w:line="276" w:lineRule="auto"/>
        <w:jc w:val="both"/>
        <w:rPr>
          <w:rFonts w:cs="Calibri"/>
        </w:rPr>
      </w:pPr>
      <w:r w:rsidRPr="002E57B1">
        <w:rPr>
          <w:rFonts w:cs="Calibri"/>
          <w:i/>
        </w:rPr>
        <w:t xml:space="preserve">The economic size (or direct impact) of </w:t>
      </w:r>
      <w:r>
        <w:rPr>
          <w:rFonts w:cs="Calibri"/>
          <w:i/>
        </w:rPr>
        <w:t>both activities</w:t>
      </w:r>
      <w:r w:rsidRPr="002E57B1">
        <w:rPr>
          <w:rFonts w:cs="Calibri"/>
        </w:rPr>
        <w:t xml:space="preserve"> using standard measures of GVA</w:t>
      </w:r>
      <w:r w:rsidRPr="00830D25">
        <w:rPr>
          <w:rStyle w:val="FootnoteReference"/>
          <w:rFonts w:ascii="HelveticaNeueLT Std" w:hAnsi="HelveticaNeueLT Std"/>
          <w:szCs w:val="16"/>
        </w:rPr>
        <w:footnoteReference w:id="2"/>
      </w:r>
      <w:r w:rsidRPr="00830D25">
        <w:rPr>
          <w:rStyle w:val="FootnoteReference"/>
          <w:rFonts w:ascii="HelveticaNeueLT Std" w:hAnsi="HelveticaNeueLT Std"/>
          <w:szCs w:val="16"/>
        </w:rPr>
        <w:t xml:space="preserve"> </w:t>
      </w:r>
      <w:r>
        <w:rPr>
          <w:rFonts w:cs="Calibri"/>
        </w:rPr>
        <w:t xml:space="preserve">contributions to GDP, of contributions to </w:t>
      </w:r>
      <w:r w:rsidRPr="002E57B1">
        <w:rPr>
          <w:rFonts w:cs="Calibri"/>
        </w:rPr>
        <w:t>employment</w:t>
      </w:r>
      <w:r>
        <w:rPr>
          <w:rFonts w:cs="Calibri"/>
        </w:rPr>
        <w:t xml:space="preserve"> and to employee compensation</w:t>
      </w:r>
      <w:r w:rsidRPr="002E57B1">
        <w:rPr>
          <w:rFonts w:cs="Calibri"/>
        </w:rPr>
        <w:t xml:space="preserve">; and </w:t>
      </w:r>
    </w:p>
    <w:p w14:paraId="78309840" w14:textId="77777777" w:rsidR="00BD7F46" w:rsidRPr="002E57B1" w:rsidRDefault="00BD7F46" w:rsidP="007D3E32">
      <w:pPr>
        <w:numPr>
          <w:ilvl w:val="0"/>
          <w:numId w:val="32"/>
        </w:numPr>
        <w:spacing w:line="276" w:lineRule="auto"/>
        <w:jc w:val="both"/>
        <w:rPr>
          <w:rFonts w:cs="Calibri"/>
        </w:rPr>
      </w:pPr>
      <w:r w:rsidRPr="002E57B1">
        <w:rPr>
          <w:rFonts w:cs="Calibri"/>
          <w:i/>
        </w:rPr>
        <w:t xml:space="preserve">The wider economic impact of </w:t>
      </w:r>
      <w:r>
        <w:rPr>
          <w:rFonts w:cs="Calibri"/>
          <w:i/>
        </w:rPr>
        <w:t xml:space="preserve">both activities </w:t>
      </w:r>
      <w:r w:rsidRPr="002E57B1">
        <w:rPr>
          <w:rFonts w:cs="Calibri"/>
          <w:i/>
        </w:rPr>
        <w:t>on the UK economy</w:t>
      </w:r>
      <w:r w:rsidRPr="002E57B1">
        <w:rPr>
          <w:rFonts w:cs="Calibri"/>
        </w:rPr>
        <w:t xml:space="preserve">, using Leontief input-output modelling to estimate a full set of (matrix) multipliers capturing direct, </w:t>
      </w:r>
      <w:proofErr w:type="gramStart"/>
      <w:r w:rsidRPr="002E57B1">
        <w:rPr>
          <w:rFonts w:cs="Calibri"/>
        </w:rPr>
        <w:t>indirect</w:t>
      </w:r>
      <w:proofErr w:type="gramEnd"/>
      <w:r w:rsidRPr="002E57B1">
        <w:rPr>
          <w:rFonts w:cs="Calibri"/>
        </w:rPr>
        <w:t xml:space="preserve"> and induced </w:t>
      </w:r>
      <w:r>
        <w:rPr>
          <w:rFonts w:cs="Calibri"/>
        </w:rPr>
        <w:t>impacts on output, GVA,</w:t>
      </w:r>
      <w:r w:rsidRPr="002E57B1">
        <w:rPr>
          <w:rFonts w:cs="Calibri"/>
        </w:rPr>
        <w:t xml:space="preserve"> employment</w:t>
      </w:r>
      <w:r>
        <w:rPr>
          <w:rFonts w:cs="Calibri"/>
        </w:rPr>
        <w:t xml:space="preserve"> and employee income</w:t>
      </w:r>
      <w:r w:rsidRPr="002E57B1">
        <w:rPr>
          <w:rFonts w:cs="Calibri"/>
        </w:rPr>
        <w:t xml:space="preserve">. </w:t>
      </w:r>
    </w:p>
    <w:p w14:paraId="7B4DCB67" w14:textId="77777777" w:rsidR="00BD7F46" w:rsidRDefault="00BD7F46" w:rsidP="007D3E32">
      <w:pPr>
        <w:spacing w:line="276" w:lineRule="auto"/>
        <w:jc w:val="both"/>
        <w:rPr>
          <w:rFonts w:cs="Calibri"/>
        </w:rPr>
      </w:pPr>
      <w:r>
        <w:rPr>
          <w:rFonts w:cs="Calibri"/>
        </w:rPr>
        <w:t>The</w:t>
      </w:r>
      <w:r w:rsidRPr="002E57B1">
        <w:rPr>
          <w:rFonts w:cs="Calibri"/>
        </w:rPr>
        <w:t xml:space="preserve"> multipliers</w:t>
      </w:r>
      <w:r>
        <w:rPr>
          <w:rFonts w:cs="Calibri"/>
        </w:rPr>
        <w:t xml:space="preserve"> capture indirect impacts on production in the economy through </w:t>
      </w:r>
      <w:r w:rsidRPr="002E57B1">
        <w:rPr>
          <w:rFonts w:cs="Calibri"/>
        </w:rPr>
        <w:t xml:space="preserve">the supply chain response </w:t>
      </w:r>
      <w:r>
        <w:rPr>
          <w:rFonts w:cs="Calibri"/>
        </w:rPr>
        <w:t xml:space="preserve">to the demands of HAs in supporting their investments in new affordable homes and their day-to-day activities, and induced impacts on production when the direct and indirect </w:t>
      </w:r>
      <w:r>
        <w:rPr>
          <w:rFonts w:cs="Calibri"/>
        </w:rPr>
        <w:lastRenderedPageBreak/>
        <w:t>employees of HAs spend their earnings in the wider economy on the final consumption goods and services required by households.</w:t>
      </w:r>
      <w:r>
        <w:rPr>
          <w:rStyle w:val="FootnoteReference"/>
          <w:rFonts w:cs="Calibri"/>
        </w:rPr>
        <w:footnoteReference w:id="3"/>
      </w:r>
      <w:r>
        <w:rPr>
          <w:rFonts w:cs="Calibri"/>
        </w:rPr>
        <w:t xml:space="preserve"> </w:t>
      </w:r>
    </w:p>
    <w:p w14:paraId="64641484" w14:textId="72812DDE" w:rsidR="006B2D3B" w:rsidRPr="00930CC7" w:rsidRDefault="00BD7F46" w:rsidP="007D3E32">
      <w:pPr>
        <w:spacing w:line="276" w:lineRule="auto"/>
        <w:jc w:val="both"/>
      </w:pPr>
      <w:r>
        <w:rPr>
          <w:rFonts w:cs="Calibri"/>
        </w:rPr>
        <w:t>The input-output model produces multipliers in the form of pound-for-pound and job-for-job ratios between total and direct impacts. These are used</w:t>
      </w:r>
      <w:r w:rsidRPr="002E57B1">
        <w:rPr>
          <w:rFonts w:cs="Calibri"/>
        </w:rPr>
        <w:t xml:space="preserve"> in association with the direct impacts data to produce estimates of the </w:t>
      </w:r>
      <w:r>
        <w:rPr>
          <w:rFonts w:cs="Calibri"/>
        </w:rPr>
        <w:t>absolute magnitudes of the total economic ‘footprint’ of</w:t>
      </w:r>
      <w:r w:rsidRPr="002E57B1">
        <w:rPr>
          <w:rFonts w:cs="Calibri"/>
        </w:rPr>
        <w:t xml:space="preserve"> </w:t>
      </w:r>
      <w:r>
        <w:rPr>
          <w:rFonts w:cs="Calibri"/>
        </w:rPr>
        <w:t xml:space="preserve">HA affordable homes investment and day-to-day activities. </w:t>
      </w:r>
      <w:r w:rsidR="006B2D3B">
        <w:t xml:space="preserve"> </w:t>
      </w:r>
    </w:p>
    <w:p w14:paraId="310A4D69" w14:textId="21338BC4" w:rsidR="002E1648" w:rsidRDefault="002E1648" w:rsidP="00524842">
      <w:pPr>
        <w:keepNext/>
        <w:tabs>
          <w:tab w:val="left" w:pos="7590"/>
        </w:tabs>
        <w:jc w:val="both"/>
      </w:pPr>
      <w:r>
        <w:t xml:space="preserve"> </w:t>
      </w:r>
    </w:p>
    <w:p w14:paraId="428820DF" w14:textId="77777777" w:rsidR="002E1648" w:rsidRDefault="002E1648" w:rsidP="00524842">
      <w:pPr>
        <w:keepNext/>
        <w:tabs>
          <w:tab w:val="left" w:pos="7590"/>
        </w:tabs>
        <w:jc w:val="both"/>
        <w:sectPr w:rsidR="002E1648" w:rsidSect="002E1648">
          <w:headerReference w:type="even" r:id="rId14"/>
          <w:headerReference w:type="default" r:id="rId15"/>
          <w:footerReference w:type="default" r:id="rId16"/>
          <w:headerReference w:type="first" r:id="rId17"/>
          <w:type w:val="continuous"/>
          <w:pgSz w:w="11906" w:h="16838" w:code="9"/>
          <w:pgMar w:top="1440" w:right="1440" w:bottom="284" w:left="1440" w:header="709" w:footer="709" w:gutter="0"/>
          <w:cols w:space="708"/>
          <w:docGrid w:linePitch="360"/>
        </w:sectPr>
      </w:pPr>
    </w:p>
    <w:p w14:paraId="0795460A" w14:textId="77777777" w:rsidR="002E1648" w:rsidRPr="005A596B" w:rsidRDefault="002E1648" w:rsidP="00524842">
      <w:pPr>
        <w:keepNext/>
        <w:tabs>
          <w:tab w:val="left" w:pos="7590"/>
        </w:tabs>
        <w:jc w:val="both"/>
        <w:sectPr w:rsidR="002E1648" w:rsidRPr="005A596B" w:rsidSect="002E1648">
          <w:type w:val="continuous"/>
          <w:pgSz w:w="11906" w:h="16838" w:code="9"/>
          <w:pgMar w:top="1440" w:right="1440" w:bottom="284" w:left="1440" w:header="709" w:footer="709" w:gutter="0"/>
          <w:cols w:num="2" w:space="708"/>
          <w:docGrid w:linePitch="360"/>
        </w:sectPr>
      </w:pPr>
    </w:p>
    <w:p w14:paraId="34B3ADC4" w14:textId="77777777" w:rsidR="002E1648" w:rsidRDefault="002E1648" w:rsidP="00524842">
      <w:pPr>
        <w:keepNext/>
        <w:widowControl w:val="0"/>
        <w:ind w:right="4989"/>
        <w:jc w:val="both"/>
        <w:sectPr w:rsidR="002E1648" w:rsidSect="002E1648">
          <w:type w:val="continuous"/>
          <w:pgSz w:w="11906" w:h="16838" w:code="9"/>
          <w:pgMar w:top="1440" w:right="1440" w:bottom="284" w:left="1440" w:header="709" w:footer="709" w:gutter="0"/>
          <w:cols w:num="2" w:space="708"/>
          <w:docGrid w:linePitch="360"/>
        </w:sectPr>
      </w:pPr>
    </w:p>
    <w:p w14:paraId="04E79B4F" w14:textId="237BCAFD" w:rsidR="00D63456" w:rsidRDefault="00B30EAA" w:rsidP="00F76D67">
      <w:pPr>
        <w:pStyle w:val="Heading1"/>
        <w:numPr>
          <w:ilvl w:val="0"/>
          <w:numId w:val="7"/>
        </w:numPr>
        <w:spacing w:after="120"/>
        <w:rPr>
          <w:b/>
          <w:bCs/>
          <w:color w:val="008C9B" w:themeColor="text2"/>
        </w:rPr>
      </w:pPr>
      <w:bookmarkStart w:id="11" w:name="_Toc33694501"/>
      <w:bookmarkStart w:id="12" w:name="_Toc33711330"/>
      <w:bookmarkStart w:id="13" w:name="_Toc66786715"/>
      <w:bookmarkStart w:id="14" w:name="_Toc27643013"/>
      <w:r w:rsidRPr="00B30EAA">
        <w:rPr>
          <w:b/>
          <w:bCs/>
          <w:color w:val="008C9B" w:themeColor="text2"/>
        </w:rPr>
        <w:lastRenderedPageBreak/>
        <w:t>Economic impact of Housing</w:t>
      </w:r>
      <w:r>
        <w:rPr>
          <w:b/>
          <w:bCs/>
          <w:color w:val="008C9B" w:themeColor="text2"/>
        </w:rPr>
        <w:t xml:space="preserve"> </w:t>
      </w:r>
      <w:r w:rsidRPr="00B30EAA">
        <w:rPr>
          <w:b/>
          <w:bCs/>
          <w:color w:val="008C9B" w:themeColor="text2"/>
        </w:rPr>
        <w:t>Associations</w:t>
      </w:r>
      <w:bookmarkEnd w:id="11"/>
      <w:bookmarkEnd w:id="12"/>
      <w:bookmarkEnd w:id="13"/>
    </w:p>
    <w:p w14:paraId="7256A8BE" w14:textId="77777777" w:rsidR="00B30EAA" w:rsidRDefault="00B30EAA" w:rsidP="007D3E32">
      <w:pPr>
        <w:spacing w:line="276" w:lineRule="auto"/>
        <w:jc w:val="both"/>
        <w:rPr>
          <w:rFonts w:cs="Calibri"/>
        </w:rPr>
      </w:pPr>
      <w:bookmarkStart w:id="15" w:name="_Ref62813987"/>
      <w:bookmarkStart w:id="16" w:name="_Toc33711331"/>
      <w:r>
        <w:rPr>
          <w:rFonts w:cs="Calibri"/>
        </w:rPr>
        <w:t>This section provides the methodology and assumptions underlying Worksheet 4: Impacts of Housing Associations’ Day-to-Day Activities in the LEIC. This allows LEIC users to estimate the economic impacts of their</w:t>
      </w:r>
      <w:r>
        <w:t xml:space="preserve"> day-to-day activities in managing their existing stock of housing. </w:t>
      </w:r>
    </w:p>
    <w:p w14:paraId="01946B20" w14:textId="77777777" w:rsidR="00B30EAA" w:rsidRDefault="00B30EAA" w:rsidP="007D3E32">
      <w:pPr>
        <w:spacing w:line="276" w:lineRule="auto"/>
        <w:jc w:val="both"/>
        <w:rPr>
          <w:rFonts w:cs="Calibri"/>
        </w:rPr>
      </w:pPr>
      <w:r>
        <w:rPr>
          <w:rFonts w:cs="Calibri"/>
        </w:rPr>
        <w:t xml:space="preserve">The process of assigning </w:t>
      </w:r>
      <w:proofErr w:type="spellStart"/>
      <w:r>
        <w:rPr>
          <w:rFonts w:cs="Calibri"/>
        </w:rPr>
        <w:t>HAs’</w:t>
      </w:r>
      <w:proofErr w:type="spellEnd"/>
      <w:r>
        <w:rPr>
          <w:rFonts w:cs="Calibri"/>
        </w:rPr>
        <w:t xml:space="preserve"> day-to-day activities (incl. repair and maintenance) an explicit role within the supply-use tables requires, as a </w:t>
      </w:r>
      <w:r w:rsidRPr="002E57B1">
        <w:rPr>
          <w:rFonts w:cs="Calibri"/>
        </w:rPr>
        <w:t>starting point</w:t>
      </w:r>
      <w:r>
        <w:rPr>
          <w:rFonts w:cs="Calibri"/>
        </w:rPr>
        <w:t>,</w:t>
      </w:r>
      <w:r w:rsidRPr="002E57B1">
        <w:rPr>
          <w:rFonts w:cs="Calibri"/>
        </w:rPr>
        <w:t xml:space="preserve"> estimate</w:t>
      </w:r>
      <w:r>
        <w:rPr>
          <w:rFonts w:cs="Calibri"/>
        </w:rPr>
        <w:t>s</w:t>
      </w:r>
      <w:r w:rsidRPr="002E57B1">
        <w:rPr>
          <w:rFonts w:cs="Calibri"/>
        </w:rPr>
        <w:t xml:space="preserve"> of the relevant economic indicators </w:t>
      </w:r>
      <w:r>
        <w:rPr>
          <w:rFonts w:cs="Calibri"/>
        </w:rPr>
        <w:t>from the aggregate financial data that exists covering those activities. These were sourced from the Global Accounts for housing associations compiled by the Homes and Communities Agency (HCA), and formerly the Tenant Services Authority (TSA)</w:t>
      </w:r>
      <w:r w:rsidRPr="00A20F1A">
        <w:rPr>
          <w:rFonts w:cs="Calibri"/>
        </w:rPr>
        <w:t>.</w:t>
      </w:r>
      <w:r w:rsidRPr="00FA012C">
        <w:rPr>
          <w:rFonts w:cs="Calibri"/>
        </w:rPr>
        <w:t xml:space="preserve"> </w:t>
      </w:r>
      <w:r w:rsidRPr="00E275F0">
        <w:rPr>
          <w:rFonts w:cs="Calibri"/>
        </w:rPr>
        <w:t xml:space="preserve">The </w:t>
      </w:r>
      <w:r>
        <w:rPr>
          <w:rFonts w:cs="Calibri"/>
        </w:rPr>
        <w:t>HCA</w:t>
      </w:r>
      <w:r w:rsidRPr="00E275F0">
        <w:rPr>
          <w:rFonts w:cs="Calibri"/>
        </w:rPr>
        <w:t xml:space="preserve"> global accounts provide income and expenditure</w:t>
      </w:r>
      <w:r>
        <w:rPr>
          <w:rFonts w:cs="Calibri"/>
        </w:rPr>
        <w:t xml:space="preserve"> data</w:t>
      </w:r>
      <w:r w:rsidRPr="00E275F0">
        <w:rPr>
          <w:rFonts w:cs="Calibri"/>
        </w:rPr>
        <w:t xml:space="preserve">, including revenue grants received, relating to </w:t>
      </w:r>
      <w:r>
        <w:rPr>
          <w:rFonts w:cs="Calibri"/>
        </w:rPr>
        <w:t xml:space="preserve">HA day-to-day </w:t>
      </w:r>
      <w:r w:rsidRPr="00E275F0">
        <w:rPr>
          <w:rFonts w:cs="Calibri"/>
        </w:rPr>
        <w:t xml:space="preserve">activity. </w:t>
      </w:r>
    </w:p>
    <w:p w14:paraId="35DE65E5" w14:textId="77777777" w:rsidR="00B30EAA" w:rsidRPr="00F87A6A" w:rsidRDefault="00B30EAA" w:rsidP="007D3E32">
      <w:pPr>
        <w:spacing w:line="276" w:lineRule="auto"/>
        <w:jc w:val="both"/>
        <w:rPr>
          <w:rFonts w:cs="Calibri"/>
        </w:rPr>
      </w:pPr>
      <w:r w:rsidRPr="00E275F0">
        <w:rPr>
          <w:rFonts w:cs="Calibri"/>
        </w:rPr>
        <w:t>NHF provide</w:t>
      </w:r>
      <w:r>
        <w:rPr>
          <w:rFonts w:cs="Calibri"/>
        </w:rPr>
        <w:t>s</w:t>
      </w:r>
      <w:r w:rsidRPr="00E275F0">
        <w:rPr>
          <w:rFonts w:cs="Calibri"/>
        </w:rPr>
        <w:t xml:space="preserve"> turnover and </w:t>
      </w:r>
      <w:r>
        <w:rPr>
          <w:rFonts w:cs="Calibri"/>
        </w:rPr>
        <w:t>employment</w:t>
      </w:r>
      <w:r w:rsidRPr="00E275F0">
        <w:rPr>
          <w:rFonts w:cs="Calibri"/>
        </w:rPr>
        <w:t xml:space="preserve"> data at the regional level, which inform</w:t>
      </w:r>
      <w:r>
        <w:rPr>
          <w:rFonts w:cs="Calibri"/>
        </w:rPr>
        <w:t>s</w:t>
      </w:r>
      <w:r w:rsidRPr="00E275F0">
        <w:rPr>
          <w:rFonts w:cs="Calibri"/>
        </w:rPr>
        <w:t xml:space="preserve"> the regional analysis of </w:t>
      </w:r>
      <w:proofErr w:type="spellStart"/>
      <w:r>
        <w:rPr>
          <w:rFonts w:cs="Calibri"/>
        </w:rPr>
        <w:t>HA</w:t>
      </w:r>
      <w:r w:rsidRPr="00E275F0">
        <w:rPr>
          <w:rFonts w:cs="Calibri"/>
        </w:rPr>
        <w:t>s’</w:t>
      </w:r>
      <w:proofErr w:type="spellEnd"/>
      <w:r w:rsidRPr="00E275F0">
        <w:rPr>
          <w:rFonts w:cs="Calibri"/>
        </w:rPr>
        <w:t xml:space="preserve"> </w:t>
      </w:r>
      <w:r>
        <w:rPr>
          <w:rFonts w:cs="Calibri"/>
        </w:rPr>
        <w:t xml:space="preserve">day-to-day </w:t>
      </w:r>
      <w:r w:rsidRPr="00E275F0">
        <w:rPr>
          <w:rFonts w:cs="Calibri"/>
        </w:rPr>
        <w:t>activities.</w:t>
      </w:r>
    </w:p>
    <w:p w14:paraId="2FF7CFAB" w14:textId="77777777" w:rsidR="00B30EAA" w:rsidRDefault="00B30EAA" w:rsidP="007D3E32">
      <w:pPr>
        <w:spacing w:line="276" w:lineRule="auto"/>
        <w:jc w:val="both"/>
        <w:rPr>
          <w:rFonts w:cs="Calibri"/>
        </w:rPr>
      </w:pPr>
      <w:r w:rsidRPr="00975325">
        <w:rPr>
          <w:rFonts w:cs="Calibri"/>
        </w:rPr>
        <w:t xml:space="preserve">Building a picture of size and structure of </w:t>
      </w:r>
      <w:proofErr w:type="spellStart"/>
      <w:r>
        <w:rPr>
          <w:rFonts w:cs="Calibri"/>
        </w:rPr>
        <w:t>HA</w:t>
      </w:r>
      <w:r w:rsidRPr="00975325">
        <w:rPr>
          <w:rFonts w:cs="Calibri"/>
        </w:rPr>
        <w:t>s’</w:t>
      </w:r>
      <w:proofErr w:type="spellEnd"/>
      <w:r w:rsidRPr="00975325">
        <w:rPr>
          <w:rFonts w:cs="Calibri"/>
        </w:rPr>
        <w:t xml:space="preserve"> supply chains – fundamental to understanding economic impacts – was helped by the aggregate estimates from the </w:t>
      </w:r>
      <w:proofErr w:type="gramStart"/>
      <w:r w:rsidRPr="00975325">
        <w:rPr>
          <w:rFonts w:cs="Calibri"/>
        </w:rPr>
        <w:t>aforementioned sources</w:t>
      </w:r>
      <w:proofErr w:type="gramEnd"/>
      <w:r w:rsidRPr="00975325">
        <w:rPr>
          <w:rFonts w:cs="Calibri"/>
        </w:rPr>
        <w:t xml:space="preserve"> but also, to an extent, by the expenditure breakdowns provided within them. However, gaps remained, in which case we developed assumptions based on the data for the broader </w:t>
      </w:r>
      <w:r>
        <w:rPr>
          <w:rFonts w:cs="Calibri"/>
        </w:rPr>
        <w:t>sector of which HAs form part (real estate services)</w:t>
      </w:r>
      <w:r w:rsidRPr="00975325">
        <w:rPr>
          <w:rFonts w:cs="Calibri"/>
        </w:rPr>
        <w:t xml:space="preserve">. </w:t>
      </w:r>
    </w:p>
    <w:p w14:paraId="50E6B161" w14:textId="77777777" w:rsidR="00B30EAA" w:rsidRDefault="00B30EAA" w:rsidP="007D3E32">
      <w:pPr>
        <w:spacing w:line="276" w:lineRule="auto"/>
        <w:jc w:val="both"/>
        <w:rPr>
          <w:rFonts w:cs="Calibri"/>
        </w:rPr>
      </w:pPr>
      <w:r>
        <w:rPr>
          <w:rFonts w:cs="Calibri"/>
        </w:rPr>
        <w:t>Taking</w:t>
      </w:r>
      <w:r w:rsidRPr="002E57B1">
        <w:rPr>
          <w:rFonts w:cs="Calibri"/>
        </w:rPr>
        <w:t xml:space="preserve"> </w:t>
      </w:r>
      <w:r>
        <w:rPr>
          <w:rFonts w:cs="Calibri"/>
        </w:rPr>
        <w:t xml:space="preserve">the </w:t>
      </w:r>
      <w:r w:rsidRPr="002E57B1">
        <w:rPr>
          <w:rFonts w:cs="Calibri"/>
        </w:rPr>
        <w:t xml:space="preserve">total turnover of </w:t>
      </w:r>
      <w:r>
        <w:rPr>
          <w:rFonts w:cs="Calibri"/>
        </w:rPr>
        <w:t xml:space="preserve">HAs as, in economic terms, </w:t>
      </w:r>
      <w:r w:rsidRPr="002E57B1">
        <w:rPr>
          <w:rFonts w:cs="Calibri"/>
        </w:rPr>
        <w:t xml:space="preserve">the total demand for </w:t>
      </w:r>
      <w:r>
        <w:rPr>
          <w:rFonts w:cs="Calibri"/>
        </w:rPr>
        <w:t xml:space="preserve">their </w:t>
      </w:r>
      <w:r w:rsidRPr="002E57B1">
        <w:rPr>
          <w:rFonts w:cs="Calibri"/>
        </w:rPr>
        <w:t>services</w:t>
      </w:r>
      <w:r>
        <w:rPr>
          <w:rFonts w:cs="Calibri"/>
        </w:rPr>
        <w:t xml:space="preserve"> provides the starting point</w:t>
      </w:r>
      <w:r w:rsidRPr="002E57B1">
        <w:rPr>
          <w:rFonts w:cs="Calibri"/>
        </w:rPr>
        <w:t xml:space="preserve">. This </w:t>
      </w:r>
      <w:r>
        <w:rPr>
          <w:rFonts w:cs="Calibri"/>
        </w:rPr>
        <w:t>i</w:t>
      </w:r>
      <w:r w:rsidRPr="002E57B1">
        <w:rPr>
          <w:rFonts w:cs="Calibri"/>
        </w:rPr>
        <w:t>s followed by a process of backward induction through the supply-use tables, involving</w:t>
      </w:r>
      <w:r>
        <w:rPr>
          <w:rFonts w:cs="Calibri"/>
        </w:rPr>
        <w:t>:</w:t>
      </w:r>
    </w:p>
    <w:p w14:paraId="3D2FC369" w14:textId="77777777" w:rsidR="00B30EAA" w:rsidRDefault="00B30EAA" w:rsidP="007D3E32">
      <w:pPr>
        <w:pStyle w:val="ListBullet"/>
        <w:numPr>
          <w:ilvl w:val="0"/>
          <w:numId w:val="30"/>
        </w:numPr>
        <w:spacing w:line="276" w:lineRule="auto"/>
        <w:jc w:val="both"/>
      </w:pPr>
      <w:r w:rsidRPr="002E57B1">
        <w:t xml:space="preserve">matching the demand for </w:t>
      </w:r>
      <w:r>
        <w:t>HA</w:t>
      </w:r>
      <w:r w:rsidRPr="002E57B1">
        <w:t xml:space="preserve"> services to their </w:t>
      </w:r>
      <w:proofErr w:type="gramStart"/>
      <w:r w:rsidRPr="002E57B1">
        <w:t>supply;</w:t>
      </w:r>
      <w:proofErr w:type="gramEnd"/>
      <w:r w:rsidRPr="002E57B1">
        <w:t xml:space="preserve"> </w:t>
      </w:r>
    </w:p>
    <w:p w14:paraId="6C685F92" w14:textId="77777777" w:rsidR="00B30EAA" w:rsidRDefault="00B30EAA" w:rsidP="007D3E32">
      <w:pPr>
        <w:pStyle w:val="ListBullet"/>
        <w:numPr>
          <w:ilvl w:val="0"/>
          <w:numId w:val="30"/>
        </w:numPr>
        <w:spacing w:line="276" w:lineRule="auto"/>
        <w:jc w:val="both"/>
      </w:pPr>
      <w:r w:rsidRPr="002E57B1">
        <w:t xml:space="preserve">establishing the corresponding </w:t>
      </w:r>
      <w:r>
        <w:t xml:space="preserve">national </w:t>
      </w:r>
      <w:r w:rsidRPr="002E57B1">
        <w:t xml:space="preserve">production, income and expenditure accounts for </w:t>
      </w:r>
      <w:r>
        <w:t>HAs</w:t>
      </w:r>
      <w:r w:rsidRPr="002E57B1">
        <w:t xml:space="preserve">, including the </w:t>
      </w:r>
      <w:r>
        <w:t xml:space="preserve">structure of </w:t>
      </w:r>
      <w:proofErr w:type="spellStart"/>
      <w:r>
        <w:t>HA</w:t>
      </w:r>
      <w:r w:rsidRPr="002E57B1">
        <w:t>s</w:t>
      </w:r>
      <w:r>
        <w:t>’</w:t>
      </w:r>
      <w:proofErr w:type="spellEnd"/>
      <w:r w:rsidRPr="002E57B1">
        <w:t xml:space="preserve"> supply </w:t>
      </w:r>
      <w:proofErr w:type="gramStart"/>
      <w:r w:rsidRPr="002E57B1">
        <w:t>chain;</w:t>
      </w:r>
      <w:proofErr w:type="gramEnd"/>
      <w:r w:rsidRPr="002E57B1">
        <w:t xml:space="preserve"> </w:t>
      </w:r>
    </w:p>
    <w:p w14:paraId="7B27485D" w14:textId="77777777" w:rsidR="00B30EAA" w:rsidRPr="002E57B1" w:rsidRDefault="00B30EAA" w:rsidP="007D3E32">
      <w:pPr>
        <w:pStyle w:val="ListBullet"/>
        <w:numPr>
          <w:ilvl w:val="0"/>
          <w:numId w:val="30"/>
        </w:numPr>
        <w:spacing w:line="276" w:lineRule="auto"/>
        <w:jc w:val="both"/>
      </w:pPr>
      <w:r w:rsidRPr="002E57B1">
        <w:t>adjusting</w:t>
      </w:r>
      <w:r>
        <w:t xml:space="preserve"> the supply-</w:t>
      </w:r>
      <w:r w:rsidRPr="002E57B1">
        <w:t xml:space="preserve">use tables to ensure that they </w:t>
      </w:r>
      <w:r>
        <w:t>are</w:t>
      </w:r>
      <w:r w:rsidRPr="002E57B1">
        <w:t xml:space="preserve"> re-balanced to GDP under the production, </w:t>
      </w:r>
      <w:proofErr w:type="gramStart"/>
      <w:r w:rsidRPr="002E57B1">
        <w:t>income</w:t>
      </w:r>
      <w:proofErr w:type="gramEnd"/>
      <w:r w:rsidRPr="002E57B1">
        <w:t xml:space="preserve"> and expenditure approaches to its calculation.    </w:t>
      </w:r>
    </w:p>
    <w:p w14:paraId="2D102062" w14:textId="4A54DAF3" w:rsidR="00B30EAA" w:rsidRDefault="00B30EAA" w:rsidP="007D3E32">
      <w:pPr>
        <w:spacing w:line="276" w:lineRule="auto"/>
        <w:jc w:val="both"/>
        <w:rPr>
          <w:rFonts w:cs="Calibri"/>
        </w:rPr>
      </w:pPr>
      <w:r w:rsidRPr="002E57B1">
        <w:rPr>
          <w:rFonts w:cs="Calibri"/>
        </w:rPr>
        <w:t xml:space="preserve">The </w:t>
      </w:r>
      <w:r>
        <w:rPr>
          <w:rFonts w:cs="Calibri"/>
        </w:rPr>
        <w:t xml:space="preserve">Global Accounts </w:t>
      </w:r>
      <w:r w:rsidRPr="002E57B1">
        <w:rPr>
          <w:rFonts w:cs="Calibri"/>
        </w:rPr>
        <w:t xml:space="preserve">suggest that the total turnover of </w:t>
      </w:r>
      <w:r>
        <w:rPr>
          <w:rFonts w:cs="Calibri"/>
        </w:rPr>
        <w:t xml:space="preserve">housing associations is </w:t>
      </w:r>
      <w:r w:rsidRPr="002E57B1">
        <w:rPr>
          <w:rFonts w:cs="Calibri"/>
        </w:rPr>
        <w:t xml:space="preserve">as presented in </w:t>
      </w:r>
      <w:r w:rsidRPr="002E57B1">
        <w:rPr>
          <w:rFonts w:cs="Calibri"/>
        </w:rPr>
        <w:fldChar w:fldCharType="begin"/>
      </w:r>
      <w:r w:rsidRPr="002E57B1">
        <w:rPr>
          <w:rFonts w:cs="Calibri"/>
        </w:rPr>
        <w:instrText xml:space="preserve"> REF _Ref326227762 \h  \* MERGEFORMAT </w:instrText>
      </w:r>
      <w:r w:rsidRPr="002E57B1">
        <w:rPr>
          <w:rFonts w:cs="Calibri"/>
        </w:rPr>
      </w:r>
      <w:r w:rsidRPr="002E57B1">
        <w:rPr>
          <w:rFonts w:cs="Calibri"/>
        </w:rPr>
        <w:fldChar w:fldCharType="separate"/>
      </w:r>
      <w:r w:rsidRPr="00747979">
        <w:rPr>
          <w:rFonts w:cs="Calibri"/>
        </w:rPr>
        <w:t xml:space="preserve">Table </w:t>
      </w:r>
      <w:r w:rsidRPr="00747979">
        <w:rPr>
          <w:rFonts w:cs="Calibri"/>
          <w:noProof/>
        </w:rPr>
        <w:t>1</w:t>
      </w:r>
      <w:r w:rsidRPr="002E57B1">
        <w:rPr>
          <w:rFonts w:cs="Calibri"/>
        </w:rPr>
        <w:fldChar w:fldCharType="end"/>
      </w:r>
      <w:r w:rsidRPr="002E57B1">
        <w:rPr>
          <w:rFonts w:cs="Calibri"/>
        </w:rPr>
        <w:t xml:space="preserve"> below</w:t>
      </w:r>
      <w:r>
        <w:rPr>
          <w:rFonts w:cs="Calibri"/>
        </w:rPr>
        <w:t>, on both a “consolidated” and “entity” basis.</w:t>
      </w:r>
      <w:r w:rsidR="00BC3F59">
        <w:rPr>
          <w:rFonts w:cs="Calibri"/>
        </w:rPr>
        <w:t xml:space="preserve"> Due to a lack of data, 2019 is the latest year with available data.</w:t>
      </w:r>
      <w:r>
        <w:rPr>
          <w:rFonts w:cs="Calibri"/>
        </w:rPr>
        <w:t xml:space="preserve"> </w:t>
      </w:r>
    </w:p>
    <w:p w14:paraId="5EB7082C" w14:textId="5C8DF459" w:rsidR="00B30EAA" w:rsidRDefault="00B30EAA" w:rsidP="00B30EAA">
      <w:pPr>
        <w:pStyle w:val="Caption"/>
        <w:keepLines/>
        <w:spacing w:after="120"/>
      </w:pPr>
      <w:bookmarkStart w:id="17" w:name="_Ref326227762"/>
      <w:r w:rsidRPr="00502866">
        <w:t xml:space="preserve">Table </w:t>
      </w:r>
      <w:r w:rsidR="00C2476A" w:rsidRPr="00502866">
        <w:fldChar w:fldCharType="begin"/>
      </w:r>
      <w:r w:rsidR="00C2476A" w:rsidRPr="00502866">
        <w:instrText xml:space="preserve"> SEQ Table \* ARABIC </w:instrText>
      </w:r>
      <w:r w:rsidR="00C2476A" w:rsidRPr="00502866">
        <w:fldChar w:fldCharType="separate"/>
      </w:r>
      <w:r w:rsidR="00142F7F" w:rsidRPr="00502866">
        <w:rPr>
          <w:noProof/>
        </w:rPr>
        <w:t>1</w:t>
      </w:r>
      <w:r w:rsidR="00C2476A" w:rsidRPr="00502866">
        <w:rPr>
          <w:noProof/>
        </w:rPr>
        <w:fldChar w:fldCharType="end"/>
      </w:r>
      <w:bookmarkEnd w:id="17"/>
      <w:r w:rsidRPr="00502866">
        <w:t>: Total turnover of Housing Associations, £millions</w:t>
      </w:r>
    </w:p>
    <w:tbl>
      <w:tblPr>
        <w:tblW w:w="7645" w:type="dxa"/>
        <w:jc w:val="center"/>
        <w:tblLook w:val="04A0" w:firstRow="1" w:lastRow="0" w:firstColumn="1" w:lastColumn="0" w:noHBand="0" w:noVBand="1"/>
      </w:tblPr>
      <w:tblGrid>
        <w:gridCol w:w="908"/>
        <w:gridCol w:w="3368"/>
        <w:gridCol w:w="3369"/>
      </w:tblGrid>
      <w:tr w:rsidR="00B30EAA" w:rsidRPr="00D15F88" w14:paraId="2534131F" w14:textId="77777777" w:rsidTr="00502866">
        <w:trPr>
          <w:trHeight w:val="315"/>
          <w:jc w:val="center"/>
        </w:trPr>
        <w:tc>
          <w:tcPr>
            <w:tcW w:w="908" w:type="dxa"/>
            <w:tcBorders>
              <w:top w:val="single" w:sz="8" w:space="0" w:color="auto"/>
              <w:left w:val="single" w:sz="8" w:space="0" w:color="auto"/>
              <w:bottom w:val="single" w:sz="8" w:space="0" w:color="auto"/>
              <w:right w:val="single" w:sz="8" w:space="0" w:color="auto"/>
            </w:tcBorders>
            <w:shd w:val="clear" w:color="000000" w:fill="008C9B"/>
            <w:vAlign w:val="center"/>
            <w:hideMark/>
          </w:tcPr>
          <w:p w14:paraId="2EC15F25" w14:textId="77777777" w:rsidR="00B30EAA" w:rsidRPr="00D15F88" w:rsidRDefault="00B30EAA" w:rsidP="00B30EAA">
            <w:pPr>
              <w:spacing w:after="0"/>
              <w:jc w:val="center"/>
              <w:rPr>
                <w:rFonts w:eastAsia="Times New Roman"/>
                <w:b/>
                <w:bCs/>
                <w:color w:val="FFFFFF"/>
                <w:sz w:val="20"/>
                <w:lang w:eastAsia="en-GB"/>
              </w:rPr>
            </w:pPr>
            <w:r w:rsidRPr="00D15F88">
              <w:rPr>
                <w:rFonts w:eastAsia="Times New Roman"/>
                <w:b/>
                <w:bCs/>
                <w:color w:val="FFFFFF"/>
                <w:sz w:val="20"/>
                <w:lang w:eastAsia="en-GB"/>
              </w:rPr>
              <w:t>Year</w:t>
            </w:r>
          </w:p>
        </w:tc>
        <w:tc>
          <w:tcPr>
            <w:tcW w:w="3368" w:type="dxa"/>
            <w:tcBorders>
              <w:top w:val="single" w:sz="8" w:space="0" w:color="auto"/>
              <w:left w:val="nil"/>
              <w:bottom w:val="single" w:sz="8" w:space="0" w:color="auto"/>
              <w:right w:val="nil"/>
            </w:tcBorders>
            <w:shd w:val="clear" w:color="000000" w:fill="008C9B"/>
          </w:tcPr>
          <w:p w14:paraId="4B6BDC24" w14:textId="77777777" w:rsidR="00B30EAA" w:rsidRPr="00D15F88" w:rsidRDefault="00B30EAA" w:rsidP="00B30EAA">
            <w:pPr>
              <w:spacing w:after="0"/>
              <w:jc w:val="center"/>
              <w:rPr>
                <w:rFonts w:eastAsia="Times New Roman"/>
                <w:b/>
                <w:bCs/>
                <w:color w:val="FFFFFF"/>
                <w:sz w:val="20"/>
                <w:lang w:eastAsia="en-GB"/>
              </w:rPr>
            </w:pPr>
            <w:r w:rsidRPr="00D15F88">
              <w:rPr>
                <w:rFonts w:eastAsia="Times New Roman"/>
                <w:b/>
                <w:bCs/>
                <w:color w:val="FFFFFF"/>
                <w:sz w:val="20"/>
                <w:lang w:eastAsia="en-GB"/>
              </w:rPr>
              <w:t xml:space="preserve">Housing Associations' </w:t>
            </w:r>
            <w:r>
              <w:rPr>
                <w:rFonts w:eastAsia="Times New Roman"/>
                <w:b/>
                <w:bCs/>
                <w:color w:val="FFFFFF"/>
                <w:sz w:val="20"/>
                <w:lang w:eastAsia="en-GB"/>
              </w:rPr>
              <w:t xml:space="preserve">Aggregate </w:t>
            </w:r>
            <w:r w:rsidRPr="00D15F88">
              <w:rPr>
                <w:rFonts w:eastAsia="Times New Roman"/>
                <w:b/>
                <w:bCs/>
                <w:color w:val="FFFFFF"/>
                <w:sz w:val="20"/>
                <w:lang w:eastAsia="en-GB"/>
              </w:rPr>
              <w:t>Turnover £m</w:t>
            </w:r>
            <w:r>
              <w:rPr>
                <w:rFonts w:eastAsia="Times New Roman"/>
                <w:b/>
                <w:bCs/>
                <w:color w:val="FFFFFF"/>
                <w:sz w:val="20"/>
                <w:lang w:eastAsia="en-GB"/>
              </w:rPr>
              <w:t xml:space="preserve"> (Cons)</w:t>
            </w:r>
          </w:p>
        </w:tc>
        <w:tc>
          <w:tcPr>
            <w:tcW w:w="3369" w:type="dxa"/>
            <w:tcBorders>
              <w:top w:val="single" w:sz="8" w:space="0" w:color="auto"/>
              <w:left w:val="nil"/>
              <w:bottom w:val="single" w:sz="8" w:space="0" w:color="auto"/>
              <w:right w:val="single" w:sz="8" w:space="0" w:color="auto"/>
            </w:tcBorders>
            <w:shd w:val="clear" w:color="000000" w:fill="008C9B"/>
            <w:vAlign w:val="center"/>
            <w:hideMark/>
          </w:tcPr>
          <w:p w14:paraId="03E938C8" w14:textId="77777777" w:rsidR="00B30EAA" w:rsidRPr="00D15F88" w:rsidRDefault="00B30EAA" w:rsidP="00B30EAA">
            <w:pPr>
              <w:spacing w:after="0"/>
              <w:jc w:val="center"/>
              <w:rPr>
                <w:rFonts w:eastAsia="Times New Roman"/>
                <w:b/>
                <w:bCs/>
                <w:color w:val="FFFFFF"/>
                <w:sz w:val="20"/>
                <w:lang w:eastAsia="en-GB"/>
              </w:rPr>
            </w:pPr>
            <w:r w:rsidRPr="00D15F88">
              <w:rPr>
                <w:rFonts w:eastAsia="Times New Roman"/>
                <w:b/>
                <w:bCs/>
                <w:color w:val="FFFFFF"/>
                <w:sz w:val="20"/>
                <w:lang w:eastAsia="en-GB"/>
              </w:rPr>
              <w:t xml:space="preserve">Housing Associations' </w:t>
            </w:r>
            <w:r>
              <w:rPr>
                <w:rFonts w:eastAsia="Times New Roman"/>
                <w:b/>
                <w:bCs/>
                <w:color w:val="FFFFFF"/>
                <w:sz w:val="20"/>
                <w:lang w:eastAsia="en-GB"/>
              </w:rPr>
              <w:t xml:space="preserve">Aggregate </w:t>
            </w:r>
            <w:r w:rsidRPr="00D15F88">
              <w:rPr>
                <w:rFonts w:eastAsia="Times New Roman"/>
                <w:b/>
                <w:bCs/>
                <w:color w:val="FFFFFF"/>
                <w:sz w:val="20"/>
                <w:lang w:eastAsia="en-GB"/>
              </w:rPr>
              <w:t xml:space="preserve">Turnover </w:t>
            </w:r>
            <w:r>
              <w:rPr>
                <w:rFonts w:eastAsia="Times New Roman"/>
                <w:b/>
                <w:bCs/>
                <w:color w:val="FFFFFF"/>
                <w:sz w:val="20"/>
                <w:lang w:eastAsia="en-GB"/>
              </w:rPr>
              <w:t xml:space="preserve">(Entity) </w:t>
            </w:r>
            <w:r w:rsidRPr="00D15F88">
              <w:rPr>
                <w:rFonts w:eastAsia="Times New Roman"/>
                <w:b/>
                <w:bCs/>
                <w:color w:val="FFFFFF"/>
                <w:sz w:val="20"/>
                <w:lang w:eastAsia="en-GB"/>
              </w:rPr>
              <w:t>£m</w:t>
            </w:r>
          </w:p>
        </w:tc>
      </w:tr>
      <w:tr w:rsidR="00B30EAA" w:rsidRPr="00D15F88" w14:paraId="605D9E41" w14:textId="77777777" w:rsidTr="00502866">
        <w:trPr>
          <w:trHeight w:val="300"/>
          <w:jc w:val="center"/>
        </w:trPr>
        <w:tc>
          <w:tcPr>
            <w:tcW w:w="908" w:type="dxa"/>
            <w:tcBorders>
              <w:top w:val="nil"/>
              <w:left w:val="single" w:sz="8" w:space="0" w:color="auto"/>
              <w:bottom w:val="nil"/>
              <w:right w:val="single" w:sz="8" w:space="0" w:color="auto"/>
            </w:tcBorders>
            <w:shd w:val="clear" w:color="auto" w:fill="auto"/>
            <w:vAlign w:val="center"/>
            <w:hideMark/>
          </w:tcPr>
          <w:p w14:paraId="59CE4428" w14:textId="77777777" w:rsidR="00B30EAA" w:rsidRPr="00D15F88" w:rsidRDefault="00B30EAA" w:rsidP="00B30EAA">
            <w:pPr>
              <w:spacing w:after="0"/>
              <w:jc w:val="center"/>
              <w:rPr>
                <w:rFonts w:eastAsia="Times New Roman"/>
                <w:b/>
                <w:bCs/>
                <w:color w:val="000000"/>
                <w:sz w:val="20"/>
                <w:lang w:eastAsia="en-GB"/>
              </w:rPr>
            </w:pPr>
            <w:r>
              <w:rPr>
                <w:rFonts w:eastAsia="Times New Roman"/>
                <w:b/>
                <w:bCs/>
                <w:color w:val="000000"/>
                <w:sz w:val="20"/>
                <w:lang w:eastAsia="en-GB"/>
              </w:rPr>
              <w:t>2015</w:t>
            </w:r>
          </w:p>
        </w:tc>
        <w:tc>
          <w:tcPr>
            <w:tcW w:w="3368" w:type="dxa"/>
            <w:tcBorders>
              <w:top w:val="nil"/>
              <w:left w:val="nil"/>
              <w:bottom w:val="nil"/>
              <w:right w:val="nil"/>
            </w:tcBorders>
          </w:tcPr>
          <w:p w14:paraId="59199FB3" w14:textId="77777777" w:rsidR="00B30EAA" w:rsidRDefault="00B30EAA" w:rsidP="00B30EAA">
            <w:pPr>
              <w:spacing w:after="0"/>
              <w:jc w:val="center"/>
              <w:rPr>
                <w:rFonts w:eastAsia="Times New Roman"/>
                <w:color w:val="000000"/>
                <w:sz w:val="20"/>
                <w:lang w:eastAsia="en-GB"/>
              </w:rPr>
            </w:pPr>
          </w:p>
        </w:tc>
        <w:tc>
          <w:tcPr>
            <w:tcW w:w="3369" w:type="dxa"/>
            <w:tcBorders>
              <w:top w:val="nil"/>
              <w:left w:val="nil"/>
              <w:bottom w:val="nil"/>
              <w:right w:val="single" w:sz="8" w:space="0" w:color="auto"/>
            </w:tcBorders>
            <w:shd w:val="clear" w:color="auto" w:fill="auto"/>
            <w:vAlign w:val="center"/>
            <w:hideMark/>
          </w:tcPr>
          <w:p w14:paraId="471088D1" w14:textId="77777777" w:rsidR="00B30EAA" w:rsidRPr="00D15F88" w:rsidRDefault="00B30EAA" w:rsidP="00B30EAA">
            <w:pPr>
              <w:spacing w:after="0"/>
              <w:jc w:val="center"/>
              <w:rPr>
                <w:rFonts w:eastAsia="Times New Roman"/>
                <w:color w:val="000000"/>
                <w:sz w:val="20"/>
                <w:lang w:eastAsia="en-GB"/>
              </w:rPr>
            </w:pPr>
            <w:r>
              <w:rPr>
                <w:rFonts w:eastAsia="Times New Roman"/>
                <w:color w:val="000000"/>
                <w:sz w:val="20"/>
                <w:lang w:eastAsia="en-GB"/>
              </w:rPr>
              <w:t>£16,268</w:t>
            </w:r>
          </w:p>
        </w:tc>
      </w:tr>
      <w:tr w:rsidR="00B30EAA" w:rsidRPr="00D15F88" w14:paraId="4DA3AC73" w14:textId="77777777" w:rsidTr="00502866">
        <w:trPr>
          <w:trHeight w:val="300"/>
          <w:jc w:val="center"/>
        </w:trPr>
        <w:tc>
          <w:tcPr>
            <w:tcW w:w="908" w:type="dxa"/>
            <w:tcBorders>
              <w:top w:val="nil"/>
              <w:left w:val="single" w:sz="8" w:space="0" w:color="auto"/>
              <w:bottom w:val="nil"/>
              <w:right w:val="single" w:sz="8" w:space="0" w:color="auto"/>
            </w:tcBorders>
            <w:shd w:val="clear" w:color="auto" w:fill="auto"/>
            <w:vAlign w:val="center"/>
            <w:hideMark/>
          </w:tcPr>
          <w:p w14:paraId="028D05C6" w14:textId="77777777" w:rsidR="00B30EAA" w:rsidRPr="00D15F88" w:rsidRDefault="00B30EAA" w:rsidP="00B30EAA">
            <w:pPr>
              <w:spacing w:after="0"/>
              <w:jc w:val="center"/>
              <w:rPr>
                <w:rFonts w:eastAsia="Times New Roman"/>
                <w:b/>
                <w:bCs/>
                <w:color w:val="000000"/>
                <w:sz w:val="20"/>
                <w:lang w:eastAsia="en-GB"/>
              </w:rPr>
            </w:pPr>
            <w:r>
              <w:rPr>
                <w:rFonts w:eastAsia="Times New Roman"/>
                <w:b/>
                <w:bCs/>
                <w:color w:val="000000"/>
                <w:sz w:val="20"/>
                <w:lang w:eastAsia="en-GB"/>
              </w:rPr>
              <w:t>2016</w:t>
            </w:r>
          </w:p>
        </w:tc>
        <w:tc>
          <w:tcPr>
            <w:tcW w:w="3368" w:type="dxa"/>
            <w:tcBorders>
              <w:top w:val="nil"/>
              <w:left w:val="nil"/>
              <w:bottom w:val="nil"/>
              <w:right w:val="nil"/>
            </w:tcBorders>
          </w:tcPr>
          <w:p w14:paraId="77232E74" w14:textId="77777777" w:rsidR="00B30EAA" w:rsidRDefault="00B30EAA" w:rsidP="00B30EAA">
            <w:pPr>
              <w:spacing w:after="0"/>
              <w:jc w:val="center"/>
              <w:rPr>
                <w:rFonts w:eastAsia="Times New Roman"/>
                <w:color w:val="000000"/>
                <w:sz w:val="20"/>
                <w:lang w:eastAsia="en-GB"/>
              </w:rPr>
            </w:pPr>
          </w:p>
        </w:tc>
        <w:tc>
          <w:tcPr>
            <w:tcW w:w="3369" w:type="dxa"/>
            <w:tcBorders>
              <w:top w:val="nil"/>
              <w:left w:val="nil"/>
              <w:bottom w:val="nil"/>
              <w:right w:val="single" w:sz="8" w:space="0" w:color="auto"/>
            </w:tcBorders>
            <w:shd w:val="clear" w:color="auto" w:fill="auto"/>
            <w:vAlign w:val="center"/>
            <w:hideMark/>
          </w:tcPr>
          <w:p w14:paraId="1BBA1AD2" w14:textId="77777777" w:rsidR="00B30EAA" w:rsidRPr="00D15F88" w:rsidRDefault="00B30EAA" w:rsidP="00B30EAA">
            <w:pPr>
              <w:spacing w:after="0"/>
              <w:jc w:val="center"/>
              <w:rPr>
                <w:rFonts w:eastAsia="Times New Roman"/>
                <w:color w:val="000000"/>
                <w:sz w:val="20"/>
                <w:lang w:eastAsia="en-GB"/>
              </w:rPr>
            </w:pPr>
            <w:r>
              <w:rPr>
                <w:rFonts w:eastAsia="Times New Roman"/>
                <w:color w:val="000000"/>
                <w:sz w:val="20"/>
                <w:lang w:eastAsia="en-GB"/>
              </w:rPr>
              <w:t>£17,787</w:t>
            </w:r>
          </w:p>
        </w:tc>
      </w:tr>
      <w:tr w:rsidR="00B30EAA" w:rsidRPr="00D15F88" w14:paraId="6506DC09" w14:textId="77777777" w:rsidTr="00502866">
        <w:trPr>
          <w:trHeight w:val="315"/>
          <w:jc w:val="center"/>
        </w:trPr>
        <w:tc>
          <w:tcPr>
            <w:tcW w:w="908" w:type="dxa"/>
            <w:tcBorders>
              <w:top w:val="nil"/>
              <w:left w:val="single" w:sz="8" w:space="0" w:color="auto"/>
              <w:bottom w:val="nil"/>
              <w:right w:val="single" w:sz="8" w:space="0" w:color="auto"/>
            </w:tcBorders>
            <w:shd w:val="clear" w:color="auto" w:fill="auto"/>
            <w:vAlign w:val="center"/>
            <w:hideMark/>
          </w:tcPr>
          <w:p w14:paraId="1B1BA088" w14:textId="77777777" w:rsidR="00B30EAA" w:rsidRPr="00D15F88" w:rsidRDefault="00B30EAA" w:rsidP="00B30EAA">
            <w:pPr>
              <w:spacing w:after="0"/>
              <w:jc w:val="center"/>
              <w:rPr>
                <w:rFonts w:eastAsia="Times New Roman"/>
                <w:b/>
                <w:bCs/>
                <w:color w:val="000000"/>
                <w:sz w:val="20"/>
                <w:lang w:eastAsia="en-GB"/>
              </w:rPr>
            </w:pPr>
            <w:r>
              <w:rPr>
                <w:rFonts w:eastAsia="Times New Roman"/>
                <w:b/>
                <w:bCs/>
                <w:color w:val="000000"/>
                <w:sz w:val="20"/>
                <w:lang w:eastAsia="en-GB"/>
              </w:rPr>
              <w:t>2017</w:t>
            </w:r>
          </w:p>
        </w:tc>
        <w:tc>
          <w:tcPr>
            <w:tcW w:w="3368" w:type="dxa"/>
            <w:tcBorders>
              <w:top w:val="nil"/>
              <w:left w:val="nil"/>
              <w:bottom w:val="nil"/>
              <w:right w:val="nil"/>
            </w:tcBorders>
          </w:tcPr>
          <w:p w14:paraId="0DEA3256" w14:textId="77777777" w:rsidR="00B30EAA" w:rsidRPr="00D15F88" w:rsidRDefault="00B30EAA" w:rsidP="00B30EAA">
            <w:pPr>
              <w:spacing w:after="0"/>
              <w:jc w:val="center"/>
              <w:rPr>
                <w:rFonts w:eastAsia="Times New Roman"/>
                <w:color w:val="000000"/>
                <w:sz w:val="20"/>
                <w:lang w:eastAsia="en-GB"/>
              </w:rPr>
            </w:pPr>
            <w:r>
              <w:rPr>
                <w:rFonts w:eastAsia="Times New Roman"/>
                <w:color w:val="000000"/>
                <w:sz w:val="20"/>
                <w:lang w:eastAsia="en-GB"/>
              </w:rPr>
              <w:t>£19,997</w:t>
            </w:r>
          </w:p>
        </w:tc>
        <w:tc>
          <w:tcPr>
            <w:tcW w:w="3369" w:type="dxa"/>
            <w:tcBorders>
              <w:top w:val="nil"/>
              <w:left w:val="nil"/>
              <w:bottom w:val="nil"/>
              <w:right w:val="single" w:sz="8" w:space="0" w:color="auto"/>
            </w:tcBorders>
            <w:shd w:val="clear" w:color="auto" w:fill="auto"/>
            <w:vAlign w:val="center"/>
            <w:hideMark/>
          </w:tcPr>
          <w:p w14:paraId="6C99D82B" w14:textId="77777777" w:rsidR="00B30EAA" w:rsidRPr="00D15F88" w:rsidRDefault="00B30EAA" w:rsidP="00B30EAA">
            <w:pPr>
              <w:spacing w:after="0"/>
              <w:jc w:val="center"/>
              <w:rPr>
                <w:rFonts w:eastAsia="Times New Roman"/>
                <w:color w:val="000000"/>
                <w:sz w:val="20"/>
                <w:lang w:eastAsia="en-GB"/>
              </w:rPr>
            </w:pPr>
            <w:r w:rsidRPr="00D15F88">
              <w:rPr>
                <w:rFonts w:eastAsia="Times New Roman"/>
                <w:color w:val="000000"/>
                <w:sz w:val="20"/>
                <w:lang w:eastAsia="en-GB"/>
              </w:rPr>
              <w:t>£1</w:t>
            </w:r>
            <w:r>
              <w:rPr>
                <w:rFonts w:eastAsia="Times New Roman"/>
                <w:color w:val="000000"/>
                <w:sz w:val="20"/>
                <w:lang w:eastAsia="en-GB"/>
              </w:rPr>
              <w:t>7</w:t>
            </w:r>
            <w:r w:rsidRPr="00D15F88">
              <w:rPr>
                <w:rFonts w:eastAsia="Times New Roman"/>
                <w:color w:val="000000"/>
                <w:sz w:val="20"/>
                <w:lang w:eastAsia="en-GB"/>
              </w:rPr>
              <w:t>,</w:t>
            </w:r>
            <w:r>
              <w:rPr>
                <w:rFonts w:eastAsia="Times New Roman"/>
                <w:color w:val="000000"/>
                <w:sz w:val="20"/>
                <w:lang w:eastAsia="en-GB"/>
              </w:rPr>
              <w:t>987</w:t>
            </w:r>
          </w:p>
        </w:tc>
      </w:tr>
      <w:tr w:rsidR="00B30EAA" w:rsidRPr="00D15F88" w14:paraId="0E9E9D45" w14:textId="77777777" w:rsidTr="00502866">
        <w:trPr>
          <w:trHeight w:val="315"/>
          <w:jc w:val="center"/>
        </w:trPr>
        <w:tc>
          <w:tcPr>
            <w:tcW w:w="908" w:type="dxa"/>
            <w:tcBorders>
              <w:top w:val="nil"/>
              <w:left w:val="single" w:sz="8" w:space="0" w:color="auto"/>
              <w:bottom w:val="nil"/>
              <w:right w:val="single" w:sz="8" w:space="0" w:color="auto"/>
            </w:tcBorders>
            <w:shd w:val="clear" w:color="auto" w:fill="auto"/>
            <w:vAlign w:val="center"/>
          </w:tcPr>
          <w:p w14:paraId="53342D32" w14:textId="77777777" w:rsidR="00B30EAA" w:rsidRDefault="00B30EAA" w:rsidP="00B30EAA">
            <w:pPr>
              <w:spacing w:after="0"/>
              <w:jc w:val="center"/>
              <w:rPr>
                <w:rFonts w:eastAsia="Times New Roman"/>
                <w:b/>
                <w:bCs/>
                <w:color w:val="000000"/>
                <w:sz w:val="20"/>
                <w:lang w:eastAsia="en-GB"/>
              </w:rPr>
            </w:pPr>
            <w:r>
              <w:rPr>
                <w:rFonts w:eastAsia="Times New Roman"/>
                <w:b/>
                <w:bCs/>
                <w:color w:val="000000"/>
                <w:sz w:val="20"/>
                <w:lang w:eastAsia="en-GB"/>
              </w:rPr>
              <w:t>2018</w:t>
            </w:r>
          </w:p>
        </w:tc>
        <w:tc>
          <w:tcPr>
            <w:tcW w:w="3368" w:type="dxa"/>
            <w:tcBorders>
              <w:top w:val="nil"/>
              <w:left w:val="nil"/>
              <w:bottom w:val="nil"/>
              <w:right w:val="nil"/>
            </w:tcBorders>
          </w:tcPr>
          <w:p w14:paraId="13B6AE89" w14:textId="77777777" w:rsidR="00B30EAA" w:rsidRPr="00D15F88" w:rsidRDefault="00B30EAA" w:rsidP="00B30EAA">
            <w:pPr>
              <w:spacing w:after="0"/>
              <w:jc w:val="center"/>
              <w:rPr>
                <w:rFonts w:eastAsia="Times New Roman"/>
                <w:color w:val="000000"/>
                <w:sz w:val="20"/>
                <w:lang w:eastAsia="en-GB"/>
              </w:rPr>
            </w:pPr>
            <w:r>
              <w:rPr>
                <w:rFonts w:eastAsia="Times New Roman"/>
                <w:color w:val="000000"/>
                <w:sz w:val="20"/>
                <w:lang w:eastAsia="en-GB"/>
              </w:rPr>
              <w:t>£20,459</w:t>
            </w:r>
          </w:p>
        </w:tc>
        <w:tc>
          <w:tcPr>
            <w:tcW w:w="3369" w:type="dxa"/>
            <w:tcBorders>
              <w:top w:val="nil"/>
              <w:left w:val="nil"/>
              <w:bottom w:val="nil"/>
              <w:right w:val="single" w:sz="8" w:space="0" w:color="auto"/>
            </w:tcBorders>
            <w:shd w:val="clear" w:color="auto" w:fill="auto"/>
            <w:vAlign w:val="center"/>
          </w:tcPr>
          <w:p w14:paraId="6252694D" w14:textId="77777777" w:rsidR="00B30EAA" w:rsidRPr="00D15F88" w:rsidRDefault="00B30EAA" w:rsidP="00B30EAA">
            <w:pPr>
              <w:spacing w:after="0"/>
              <w:jc w:val="center"/>
              <w:rPr>
                <w:rFonts w:eastAsia="Times New Roman"/>
                <w:color w:val="000000"/>
                <w:sz w:val="20"/>
                <w:lang w:eastAsia="en-GB"/>
              </w:rPr>
            </w:pPr>
            <w:r>
              <w:rPr>
                <w:rFonts w:eastAsia="Times New Roman"/>
                <w:color w:val="000000"/>
                <w:sz w:val="20"/>
                <w:lang w:eastAsia="en-GB"/>
              </w:rPr>
              <w:t>£18,383</w:t>
            </w:r>
          </w:p>
        </w:tc>
      </w:tr>
      <w:tr w:rsidR="00B30EAA" w:rsidRPr="00D15F88" w14:paraId="6C591BFC" w14:textId="77777777" w:rsidTr="00502866">
        <w:trPr>
          <w:trHeight w:val="315"/>
          <w:jc w:val="center"/>
        </w:trPr>
        <w:tc>
          <w:tcPr>
            <w:tcW w:w="908" w:type="dxa"/>
            <w:tcBorders>
              <w:top w:val="nil"/>
              <w:left w:val="single" w:sz="8" w:space="0" w:color="auto"/>
              <w:bottom w:val="single" w:sz="8" w:space="0" w:color="auto"/>
              <w:right w:val="single" w:sz="8" w:space="0" w:color="auto"/>
            </w:tcBorders>
            <w:shd w:val="clear" w:color="auto" w:fill="auto"/>
            <w:vAlign w:val="center"/>
          </w:tcPr>
          <w:p w14:paraId="760421ED" w14:textId="77777777" w:rsidR="00B30EAA" w:rsidRDefault="00B30EAA" w:rsidP="00B30EAA">
            <w:pPr>
              <w:spacing w:after="0"/>
              <w:jc w:val="center"/>
              <w:rPr>
                <w:rFonts w:eastAsia="Times New Roman"/>
                <w:b/>
                <w:bCs/>
                <w:color w:val="000000"/>
                <w:sz w:val="20"/>
                <w:lang w:eastAsia="en-GB"/>
              </w:rPr>
            </w:pPr>
            <w:r>
              <w:rPr>
                <w:rFonts w:eastAsia="Times New Roman"/>
                <w:b/>
                <w:bCs/>
                <w:color w:val="000000"/>
                <w:sz w:val="20"/>
                <w:lang w:eastAsia="en-GB"/>
              </w:rPr>
              <w:t>2019</w:t>
            </w:r>
          </w:p>
        </w:tc>
        <w:tc>
          <w:tcPr>
            <w:tcW w:w="3368" w:type="dxa"/>
            <w:tcBorders>
              <w:top w:val="nil"/>
              <w:left w:val="nil"/>
              <w:bottom w:val="single" w:sz="8" w:space="0" w:color="auto"/>
              <w:right w:val="nil"/>
            </w:tcBorders>
          </w:tcPr>
          <w:p w14:paraId="17967457" w14:textId="77777777" w:rsidR="00B30EAA" w:rsidRDefault="00B30EAA" w:rsidP="00B30EAA">
            <w:pPr>
              <w:spacing w:after="0"/>
              <w:jc w:val="center"/>
              <w:rPr>
                <w:rFonts w:eastAsia="Times New Roman"/>
                <w:color w:val="000000"/>
                <w:sz w:val="20"/>
                <w:lang w:eastAsia="en-GB"/>
              </w:rPr>
            </w:pPr>
            <w:r>
              <w:rPr>
                <w:rFonts w:eastAsia="Times New Roman"/>
                <w:color w:val="000000"/>
                <w:sz w:val="20"/>
                <w:lang w:eastAsia="en-GB"/>
              </w:rPr>
              <w:t>£20,860</w:t>
            </w:r>
          </w:p>
        </w:tc>
        <w:tc>
          <w:tcPr>
            <w:tcW w:w="3369" w:type="dxa"/>
            <w:tcBorders>
              <w:top w:val="nil"/>
              <w:left w:val="nil"/>
              <w:bottom w:val="single" w:sz="8" w:space="0" w:color="auto"/>
              <w:right w:val="single" w:sz="8" w:space="0" w:color="auto"/>
            </w:tcBorders>
            <w:shd w:val="clear" w:color="auto" w:fill="auto"/>
            <w:vAlign w:val="center"/>
          </w:tcPr>
          <w:p w14:paraId="01F9EF2C" w14:textId="77777777" w:rsidR="00B30EAA" w:rsidRDefault="00B30EAA" w:rsidP="00B30EAA">
            <w:pPr>
              <w:spacing w:after="0"/>
              <w:jc w:val="center"/>
              <w:rPr>
                <w:rFonts w:eastAsia="Times New Roman"/>
                <w:color w:val="000000"/>
                <w:sz w:val="20"/>
                <w:lang w:eastAsia="en-GB"/>
              </w:rPr>
            </w:pPr>
            <w:r>
              <w:rPr>
                <w:rFonts w:eastAsia="Times New Roman"/>
                <w:color w:val="000000"/>
                <w:sz w:val="20"/>
                <w:lang w:eastAsia="en-GB"/>
              </w:rPr>
              <w:t>£18,704</w:t>
            </w:r>
          </w:p>
        </w:tc>
      </w:tr>
    </w:tbl>
    <w:p w14:paraId="31938ACF" w14:textId="77777777" w:rsidR="00B30EAA" w:rsidRPr="00502866" w:rsidRDefault="00B30EAA" w:rsidP="00502866">
      <w:pPr>
        <w:spacing w:before="60"/>
        <w:jc w:val="right"/>
        <w:rPr>
          <w:i/>
          <w:iCs/>
          <w:color w:val="808080" w:themeColor="background1" w:themeShade="80"/>
          <w:sz w:val="18"/>
          <w:szCs w:val="18"/>
        </w:rPr>
      </w:pPr>
      <w:r w:rsidRPr="00502866">
        <w:rPr>
          <w:i/>
          <w:iCs/>
          <w:color w:val="808080" w:themeColor="background1" w:themeShade="80"/>
          <w:sz w:val="18"/>
          <w:szCs w:val="18"/>
        </w:rPr>
        <w:t>Source: HCA Global accounts 2015-2019</w:t>
      </w:r>
    </w:p>
    <w:p w14:paraId="04410623" w14:textId="56161E9B" w:rsidR="00B30EAA" w:rsidRDefault="00BC3F59" w:rsidP="007D3E32">
      <w:pPr>
        <w:spacing w:line="276" w:lineRule="auto"/>
        <w:jc w:val="both"/>
        <w:rPr>
          <w:rFonts w:cs="Calibri"/>
        </w:rPr>
      </w:pPr>
      <w:r w:rsidRPr="002C3BC0">
        <w:rPr>
          <w:rFonts w:cs="Calibri"/>
        </w:rPr>
        <w:lastRenderedPageBreak/>
        <w:t xml:space="preserve">As with the </w:t>
      </w:r>
      <w:r w:rsidR="002C3BC0" w:rsidRPr="002C3BC0">
        <w:rPr>
          <w:rFonts w:cs="Calibri"/>
        </w:rPr>
        <w:t>previous</w:t>
      </w:r>
      <w:r w:rsidRPr="002C3BC0">
        <w:rPr>
          <w:rFonts w:cs="Calibri"/>
        </w:rPr>
        <w:t xml:space="preserve"> version</w:t>
      </w:r>
      <w:r w:rsidR="002C3BC0" w:rsidRPr="002C3BC0">
        <w:rPr>
          <w:rFonts w:cs="Calibri"/>
        </w:rPr>
        <w:t>s</w:t>
      </w:r>
      <w:r w:rsidRPr="002C3BC0">
        <w:rPr>
          <w:rFonts w:cs="Calibri"/>
        </w:rPr>
        <w:t>, this new iteration</w:t>
      </w:r>
      <w:r w:rsidR="00B30EAA" w:rsidRPr="002C3BC0">
        <w:rPr>
          <w:rFonts w:cs="Calibri"/>
        </w:rPr>
        <w:t xml:space="preserve"> of the LEIC is based on local-level numbers that reconcile to most of the “entity” 2019 estimate of £18,704 million. Specifically, the local-level numbers sum to £18,</w:t>
      </w:r>
      <w:r w:rsidR="003D0806" w:rsidRPr="002C3BC0">
        <w:rPr>
          <w:rFonts w:cs="Calibri"/>
        </w:rPr>
        <w:t>439</w:t>
      </w:r>
      <w:r w:rsidR="00B30EAA" w:rsidRPr="002C3BC0">
        <w:rPr>
          <w:rFonts w:cs="Calibri"/>
        </w:rPr>
        <w:t xml:space="preserve"> million</w:t>
      </w:r>
      <w:r w:rsidR="003D0806" w:rsidRPr="002C3BC0">
        <w:rPr>
          <w:rFonts w:cs="Calibri"/>
        </w:rPr>
        <w:t>.</w:t>
      </w:r>
      <w:r w:rsidR="00B30EAA" w:rsidRPr="002C3BC0">
        <w:rPr>
          <w:rFonts w:cs="Calibri"/>
        </w:rPr>
        <w:t xml:space="preserve"> Previous iterations have also been based on local numbers that sum to amounts closer to the “entity” estimates. The only exception is the 2019 LEIC, for which Cebr was supplied local-level numbers closer to the 2018 “cons” estimate.</w:t>
      </w:r>
    </w:p>
    <w:p w14:paraId="4D952583" w14:textId="77777777" w:rsidR="00B30EAA" w:rsidRPr="00467115" w:rsidRDefault="00B30EAA" w:rsidP="007D3E32">
      <w:pPr>
        <w:spacing w:line="276" w:lineRule="auto"/>
        <w:jc w:val="both"/>
        <w:rPr>
          <w:rFonts w:cs="Calibri"/>
        </w:rPr>
      </w:pPr>
      <w:r>
        <w:rPr>
          <w:rFonts w:cs="Calibri"/>
        </w:rPr>
        <w:t xml:space="preserve">The process of embedding </w:t>
      </w:r>
      <w:proofErr w:type="spellStart"/>
      <w:r>
        <w:rPr>
          <w:rFonts w:cs="Calibri"/>
        </w:rPr>
        <w:t>HAs’</w:t>
      </w:r>
      <w:proofErr w:type="spellEnd"/>
      <w:r>
        <w:rPr>
          <w:rFonts w:cs="Calibri"/>
        </w:rPr>
        <w:t xml:space="preserve"> economic activities within the supply-use and input-output models required </w:t>
      </w:r>
      <w:r w:rsidRPr="00467115">
        <w:rPr>
          <w:rFonts w:cs="Calibri"/>
        </w:rPr>
        <w:t xml:space="preserve">estimates of several other economic indicators. Values for these indicators were estimated </w:t>
      </w:r>
      <w:r>
        <w:rPr>
          <w:rFonts w:cs="Calibri"/>
        </w:rPr>
        <w:t xml:space="preserve">based on the data from the sources </w:t>
      </w:r>
      <w:r w:rsidRPr="00467115">
        <w:rPr>
          <w:rFonts w:cs="Calibri"/>
        </w:rPr>
        <w:t>previously outlined</w:t>
      </w:r>
      <w:r>
        <w:rPr>
          <w:rFonts w:cs="Calibri"/>
        </w:rPr>
        <w:t>. These are detailed as follows:</w:t>
      </w:r>
    </w:p>
    <w:p w14:paraId="6DCCE04A" w14:textId="77777777" w:rsidR="00B30EAA" w:rsidRPr="00467115" w:rsidRDefault="00B30EAA" w:rsidP="007D3E32">
      <w:pPr>
        <w:numPr>
          <w:ilvl w:val="0"/>
          <w:numId w:val="29"/>
        </w:numPr>
        <w:spacing w:line="276" w:lineRule="auto"/>
        <w:ind w:left="425" w:hanging="425"/>
        <w:jc w:val="both"/>
        <w:rPr>
          <w:rFonts w:cs="Calibri"/>
        </w:rPr>
      </w:pPr>
      <w:r w:rsidRPr="00FA012C">
        <w:rPr>
          <w:rFonts w:cs="Calibri"/>
          <w:i/>
          <w:szCs w:val="24"/>
        </w:rPr>
        <w:t xml:space="preserve">Taxes </w:t>
      </w:r>
      <w:r w:rsidRPr="00DE0539">
        <w:rPr>
          <w:rFonts w:cs="Calibri"/>
          <w:szCs w:val="24"/>
        </w:rPr>
        <w:t>less</w:t>
      </w:r>
      <w:r w:rsidRPr="00FA012C">
        <w:rPr>
          <w:rFonts w:cs="Calibri"/>
          <w:i/>
          <w:szCs w:val="24"/>
        </w:rPr>
        <w:t xml:space="preserve"> subsidies on production</w:t>
      </w:r>
      <w:r w:rsidRPr="00467115">
        <w:rPr>
          <w:rFonts w:cs="Calibri"/>
          <w:szCs w:val="24"/>
        </w:rPr>
        <w:t>: this consists of business rates and employers’ national</w:t>
      </w:r>
      <w:r w:rsidRPr="00467115">
        <w:rPr>
          <w:rFonts w:cs="Calibri"/>
        </w:rPr>
        <w:t xml:space="preserve"> insurance con</w:t>
      </w:r>
      <w:r>
        <w:rPr>
          <w:rFonts w:cs="Calibri"/>
        </w:rPr>
        <w:t xml:space="preserve">tributions (NICs) at a minimum, sourced from the HCA Global Accounts. </w:t>
      </w:r>
    </w:p>
    <w:p w14:paraId="67C55E95" w14:textId="77777777" w:rsidR="00B30EAA" w:rsidRPr="002E57B1" w:rsidRDefault="00B30EAA" w:rsidP="007D3E32">
      <w:pPr>
        <w:numPr>
          <w:ilvl w:val="0"/>
          <w:numId w:val="29"/>
        </w:numPr>
        <w:spacing w:line="276" w:lineRule="auto"/>
        <w:ind w:left="425" w:hanging="425"/>
        <w:jc w:val="both"/>
        <w:rPr>
          <w:rFonts w:cs="Calibri"/>
        </w:rPr>
      </w:pPr>
      <w:r w:rsidRPr="002E57B1">
        <w:rPr>
          <w:rFonts w:cs="Calibri"/>
          <w:i/>
        </w:rPr>
        <w:t>Employment</w:t>
      </w:r>
      <w:r w:rsidRPr="002E57B1">
        <w:rPr>
          <w:rFonts w:cs="Calibri"/>
        </w:rPr>
        <w:t xml:space="preserve">: </w:t>
      </w:r>
      <w:r>
        <w:rPr>
          <w:rFonts w:cs="Calibri"/>
        </w:rPr>
        <w:t>headcount numbers derived by NHF from the HCA Global Accounts.</w:t>
      </w:r>
      <w:r w:rsidRPr="00830D25">
        <w:rPr>
          <w:rStyle w:val="FootnoteReference"/>
          <w:rFonts w:cs="Calibri"/>
        </w:rPr>
        <w:footnoteReference w:id="4"/>
      </w:r>
      <w:r w:rsidRPr="00830D25">
        <w:rPr>
          <w:rStyle w:val="FootnoteReference"/>
        </w:rPr>
        <w:t xml:space="preserve"> </w:t>
      </w:r>
    </w:p>
    <w:p w14:paraId="19CA62F5" w14:textId="77777777" w:rsidR="00B30EAA" w:rsidRDefault="00B30EAA" w:rsidP="007D3E32">
      <w:pPr>
        <w:numPr>
          <w:ilvl w:val="0"/>
          <w:numId w:val="29"/>
        </w:numPr>
        <w:spacing w:line="276" w:lineRule="auto"/>
        <w:ind w:left="425" w:hanging="425"/>
        <w:jc w:val="both"/>
        <w:rPr>
          <w:rFonts w:cs="Calibri"/>
        </w:rPr>
      </w:pPr>
      <w:r w:rsidRPr="00467115">
        <w:rPr>
          <w:rFonts w:cs="Calibri"/>
          <w:i/>
        </w:rPr>
        <w:t>Compensation of employees</w:t>
      </w:r>
      <w:r w:rsidRPr="00467115">
        <w:rPr>
          <w:rFonts w:cs="Calibri"/>
        </w:rPr>
        <w:t xml:space="preserve">: </w:t>
      </w:r>
      <w:proofErr w:type="spellStart"/>
      <w:r>
        <w:rPr>
          <w:rFonts w:cs="Calibri"/>
        </w:rPr>
        <w:t>HA</w:t>
      </w:r>
      <w:r w:rsidRPr="00467115">
        <w:rPr>
          <w:rFonts w:cs="Calibri"/>
        </w:rPr>
        <w:t>s’</w:t>
      </w:r>
      <w:proofErr w:type="spellEnd"/>
      <w:r w:rsidRPr="00467115">
        <w:rPr>
          <w:rFonts w:cs="Calibri"/>
        </w:rPr>
        <w:t xml:space="preserve"> people costs </w:t>
      </w:r>
      <w:r>
        <w:rPr>
          <w:rFonts w:cs="Calibri"/>
        </w:rPr>
        <w:t xml:space="preserve">are based on these same headcount numbers, which are combined with data on employment profiles and </w:t>
      </w:r>
      <w:r w:rsidRPr="0067277F">
        <w:rPr>
          <w:rFonts w:cs="Calibri"/>
        </w:rPr>
        <w:t>wage</w:t>
      </w:r>
      <w:r>
        <w:rPr>
          <w:rFonts w:cs="Calibri"/>
        </w:rPr>
        <w:t>s</w:t>
      </w:r>
      <w:r w:rsidRPr="0067277F">
        <w:rPr>
          <w:rFonts w:cs="Calibri"/>
        </w:rPr>
        <w:t xml:space="preserve"> </w:t>
      </w:r>
      <w:r>
        <w:rPr>
          <w:rFonts w:cs="Calibri"/>
        </w:rPr>
        <w:t xml:space="preserve">obtained </w:t>
      </w:r>
      <w:r w:rsidRPr="0067277F">
        <w:rPr>
          <w:rFonts w:cs="Calibri"/>
        </w:rPr>
        <w:t>from the ONS.</w:t>
      </w:r>
    </w:p>
    <w:p w14:paraId="044308E8" w14:textId="77777777" w:rsidR="00B30EAA" w:rsidRPr="0067277F" w:rsidRDefault="00B30EAA" w:rsidP="007D3E32">
      <w:pPr>
        <w:numPr>
          <w:ilvl w:val="0"/>
          <w:numId w:val="29"/>
        </w:numPr>
        <w:spacing w:line="276" w:lineRule="auto"/>
        <w:ind w:left="425" w:hanging="425"/>
        <w:jc w:val="both"/>
        <w:rPr>
          <w:rFonts w:cs="Calibri"/>
        </w:rPr>
      </w:pPr>
      <w:r w:rsidRPr="0067277F">
        <w:rPr>
          <w:rFonts w:cs="Calibri"/>
          <w:i/>
        </w:rPr>
        <w:t>Gross operating surplus and mixed income</w:t>
      </w:r>
      <w:r w:rsidRPr="0067277F">
        <w:rPr>
          <w:rFonts w:cs="Calibri"/>
        </w:rPr>
        <w:t xml:space="preserve">: </w:t>
      </w:r>
      <w:r>
        <w:rPr>
          <w:rFonts w:cs="Calibri"/>
        </w:rPr>
        <w:t>this includes any HA operating surplus, sourced from the HCA global accounts, including allowances for the depreciation of property and other assets.</w:t>
      </w:r>
    </w:p>
    <w:p w14:paraId="1AB94CBA" w14:textId="77777777" w:rsidR="00B30EAA" w:rsidRPr="002E57B1" w:rsidRDefault="00B30EAA" w:rsidP="007D3E32">
      <w:pPr>
        <w:numPr>
          <w:ilvl w:val="0"/>
          <w:numId w:val="29"/>
        </w:numPr>
        <w:spacing w:line="276" w:lineRule="auto"/>
        <w:ind w:left="425" w:hanging="425"/>
        <w:jc w:val="both"/>
        <w:rPr>
          <w:rFonts w:cs="Calibri"/>
        </w:rPr>
      </w:pPr>
      <w:r w:rsidRPr="002E57B1">
        <w:rPr>
          <w:rFonts w:cs="Calibri"/>
          <w:i/>
        </w:rPr>
        <w:t>Intermediate consumption (supply chain)</w:t>
      </w:r>
      <w:r w:rsidRPr="002E57B1">
        <w:rPr>
          <w:rFonts w:cs="Calibri"/>
        </w:rPr>
        <w:t xml:space="preserve">: spend by </w:t>
      </w:r>
      <w:r>
        <w:rPr>
          <w:rFonts w:cs="Calibri"/>
        </w:rPr>
        <w:t xml:space="preserve">HAs </w:t>
      </w:r>
      <w:r w:rsidRPr="002E57B1">
        <w:rPr>
          <w:rFonts w:cs="Calibri"/>
        </w:rPr>
        <w:t xml:space="preserve">on </w:t>
      </w:r>
      <w:r>
        <w:rPr>
          <w:rFonts w:cs="Calibri"/>
        </w:rPr>
        <w:t xml:space="preserve">externally sourced </w:t>
      </w:r>
      <w:r w:rsidRPr="002E57B1">
        <w:rPr>
          <w:rFonts w:cs="Calibri"/>
        </w:rPr>
        <w:t>intermediate inputs</w:t>
      </w:r>
      <w:r>
        <w:rPr>
          <w:rFonts w:cs="Calibri"/>
        </w:rPr>
        <w:t>,</w:t>
      </w:r>
      <w:r w:rsidRPr="002E57B1">
        <w:rPr>
          <w:rFonts w:cs="Calibri"/>
        </w:rPr>
        <w:t xml:space="preserve"> </w:t>
      </w:r>
      <w:r>
        <w:rPr>
          <w:rFonts w:cs="Calibri"/>
        </w:rPr>
        <w:t xml:space="preserve">including from other HAs or other real estate service providers.  </w:t>
      </w:r>
      <w:r w:rsidRPr="002E57B1">
        <w:rPr>
          <w:rFonts w:cs="Calibri"/>
        </w:rPr>
        <w:t xml:space="preserve"> </w:t>
      </w:r>
    </w:p>
    <w:p w14:paraId="51C147FF" w14:textId="77777777" w:rsidR="00B30EAA" w:rsidRDefault="00B30EAA" w:rsidP="007D3E32">
      <w:pPr>
        <w:spacing w:line="276" w:lineRule="auto"/>
        <w:jc w:val="both"/>
        <w:rPr>
          <w:rFonts w:cs="Calibri"/>
        </w:rPr>
      </w:pPr>
      <w:r>
        <w:rPr>
          <w:rFonts w:cs="Calibri"/>
        </w:rPr>
        <w:fldChar w:fldCharType="begin"/>
      </w:r>
      <w:r>
        <w:rPr>
          <w:rFonts w:cs="Calibri"/>
        </w:rPr>
        <w:instrText xml:space="preserve"> REF _Ref343463538 \h  \* MERGEFORMAT </w:instrText>
      </w:r>
      <w:r>
        <w:rPr>
          <w:rFonts w:cs="Calibri"/>
        </w:rPr>
      </w:r>
      <w:r>
        <w:rPr>
          <w:rFonts w:cs="Calibri"/>
        </w:rPr>
        <w:fldChar w:fldCharType="separate"/>
      </w:r>
      <w:r w:rsidRPr="00747979">
        <w:rPr>
          <w:rFonts w:cs="Calibri"/>
        </w:rPr>
        <w:t>Table 2</w:t>
      </w:r>
      <w:r>
        <w:rPr>
          <w:rFonts w:cs="Calibri"/>
        </w:rPr>
        <w:fldChar w:fldCharType="end"/>
      </w:r>
      <w:r>
        <w:rPr>
          <w:rFonts w:cs="Calibri"/>
        </w:rPr>
        <w:t xml:space="preserve"> below shows our estimates of the size and structure of the supply chains associated with housing associations’ day-to-day activities. </w:t>
      </w:r>
    </w:p>
    <w:p w14:paraId="7EF3E5F6" w14:textId="77777777" w:rsidR="00B30EAA" w:rsidRDefault="00B30EAA" w:rsidP="007D3E32">
      <w:pPr>
        <w:spacing w:line="276" w:lineRule="auto"/>
        <w:jc w:val="both"/>
        <w:rPr>
          <w:rFonts w:cs="Calibri"/>
        </w:rPr>
      </w:pPr>
      <w:r>
        <w:rPr>
          <w:rFonts w:cs="Calibri"/>
        </w:rPr>
        <w:t xml:space="preserve">The table shows the categories of externally sourced intermediate goods and services that HAs require to carry out their own activities and, therefore, the industries from which they purchase them. It is in these industries that jobs and economic output are supported by the day-to-day activities of housing associations at the local, </w:t>
      </w:r>
      <w:proofErr w:type="gramStart"/>
      <w:r>
        <w:rPr>
          <w:rFonts w:cs="Calibri"/>
        </w:rPr>
        <w:t>regional</w:t>
      </w:r>
      <w:proofErr w:type="gramEnd"/>
      <w:r>
        <w:rPr>
          <w:rFonts w:cs="Calibri"/>
        </w:rPr>
        <w:t xml:space="preserve"> and national level.</w:t>
      </w:r>
    </w:p>
    <w:p w14:paraId="6DCA16E2" w14:textId="1CB63ABA" w:rsidR="00B30EAA" w:rsidRDefault="00B30EAA" w:rsidP="007D3E32">
      <w:pPr>
        <w:spacing w:line="276" w:lineRule="auto"/>
        <w:jc w:val="both"/>
        <w:rPr>
          <w:rFonts w:cs="Calibri"/>
        </w:rPr>
      </w:pPr>
      <w:r>
        <w:rPr>
          <w:rFonts w:cs="Calibri"/>
        </w:rPr>
        <w:t xml:space="preserve">By far the greatest proportion of </w:t>
      </w:r>
      <w:proofErr w:type="spellStart"/>
      <w:r>
        <w:rPr>
          <w:rFonts w:cs="Calibri"/>
        </w:rPr>
        <w:t>HAs’</w:t>
      </w:r>
      <w:proofErr w:type="spellEnd"/>
      <w:r>
        <w:rPr>
          <w:rFonts w:cs="Calibri"/>
        </w:rPr>
        <w:t xml:space="preserve"> external spend is in the construction sector. This reflects expenditures on repair and maintenance of existing housing stocks (anything from plumbing or electrical repairs to significant improvements to the property). The next highest expenditures are estimated to be in </w:t>
      </w:r>
      <w:r w:rsidR="00B573D1">
        <w:rPr>
          <w:rFonts w:cs="Calibri"/>
        </w:rPr>
        <w:t>real estate activities</w:t>
      </w:r>
      <w:r>
        <w:rPr>
          <w:rFonts w:cs="Calibri"/>
        </w:rPr>
        <w:t xml:space="preserve"> – </w:t>
      </w:r>
      <w:r w:rsidR="00B573D1">
        <w:rPr>
          <w:rFonts w:cs="Calibri"/>
        </w:rPr>
        <w:t>9.8</w:t>
      </w:r>
      <w:r>
        <w:rPr>
          <w:rFonts w:cs="Calibri"/>
        </w:rPr>
        <w:t xml:space="preserve"> per cent – and </w:t>
      </w:r>
      <w:r w:rsidR="00B573D1">
        <w:rPr>
          <w:rFonts w:cs="Calibri"/>
        </w:rPr>
        <w:t>financial and insurance activities</w:t>
      </w:r>
      <w:r>
        <w:rPr>
          <w:rFonts w:cs="Calibri"/>
        </w:rPr>
        <w:t xml:space="preserve"> – </w:t>
      </w:r>
      <w:r w:rsidR="00B573D1">
        <w:rPr>
          <w:rFonts w:cs="Calibri"/>
        </w:rPr>
        <w:t>4.9</w:t>
      </w:r>
      <w:r>
        <w:rPr>
          <w:rFonts w:cs="Calibri"/>
        </w:rPr>
        <w:t xml:space="preserve"> per cent.</w:t>
      </w:r>
    </w:p>
    <w:p w14:paraId="7CDCDA81" w14:textId="20A914D0" w:rsidR="00B30EAA" w:rsidRPr="00FA012C" w:rsidRDefault="00B30EAA" w:rsidP="00B30EAA">
      <w:pPr>
        <w:pStyle w:val="Caption"/>
        <w:keepNext/>
        <w:keepLines/>
        <w:widowControl w:val="0"/>
        <w:spacing w:after="120"/>
      </w:pPr>
      <w:bookmarkStart w:id="18" w:name="_Ref343463538"/>
      <w:r w:rsidRPr="00B573D1">
        <w:lastRenderedPageBreak/>
        <w:t xml:space="preserve">Table </w:t>
      </w:r>
      <w:r w:rsidR="00C2476A" w:rsidRPr="00B573D1">
        <w:fldChar w:fldCharType="begin"/>
      </w:r>
      <w:r w:rsidR="00C2476A" w:rsidRPr="00B573D1">
        <w:instrText xml:space="preserve"> SEQ Table \* ARABIC </w:instrText>
      </w:r>
      <w:r w:rsidR="00C2476A" w:rsidRPr="00B573D1">
        <w:fldChar w:fldCharType="separate"/>
      </w:r>
      <w:r w:rsidR="00142F7F" w:rsidRPr="00B573D1">
        <w:rPr>
          <w:noProof/>
        </w:rPr>
        <w:t>2</w:t>
      </w:r>
      <w:r w:rsidR="00C2476A" w:rsidRPr="00B573D1">
        <w:rPr>
          <w:noProof/>
        </w:rPr>
        <w:fldChar w:fldCharType="end"/>
      </w:r>
      <w:bookmarkEnd w:id="18"/>
      <w:r w:rsidRPr="00B573D1">
        <w:t xml:space="preserve">: Structure of </w:t>
      </w:r>
      <w:proofErr w:type="spellStart"/>
      <w:r w:rsidRPr="00B573D1">
        <w:t>HAs’</w:t>
      </w:r>
      <w:proofErr w:type="spellEnd"/>
      <w:r w:rsidRPr="00B573D1">
        <w:t xml:space="preserve"> supply chain supporting their day-to-day activities, % of total</w:t>
      </w:r>
    </w:p>
    <w:tbl>
      <w:tblPr>
        <w:tblW w:w="6700" w:type="dxa"/>
        <w:tblInd w:w="983" w:type="dxa"/>
        <w:tblLook w:val="04A0" w:firstRow="1" w:lastRow="0" w:firstColumn="1" w:lastColumn="0" w:noHBand="0" w:noVBand="1"/>
      </w:tblPr>
      <w:tblGrid>
        <w:gridCol w:w="4866"/>
        <w:gridCol w:w="1834"/>
      </w:tblGrid>
      <w:tr w:rsidR="00B30EAA" w:rsidRPr="00DC4B0A" w14:paraId="2E063E05" w14:textId="77777777" w:rsidTr="00DC4B0A">
        <w:trPr>
          <w:trHeight w:val="315"/>
          <w:tblHeader/>
        </w:trPr>
        <w:tc>
          <w:tcPr>
            <w:tcW w:w="4866" w:type="dxa"/>
            <w:tcBorders>
              <w:top w:val="single" w:sz="8" w:space="0" w:color="auto"/>
              <w:left w:val="single" w:sz="8" w:space="0" w:color="auto"/>
              <w:bottom w:val="single" w:sz="8" w:space="0" w:color="auto"/>
              <w:right w:val="single" w:sz="8" w:space="0" w:color="auto"/>
            </w:tcBorders>
            <w:shd w:val="clear" w:color="000000" w:fill="008C9B"/>
            <w:vAlign w:val="center"/>
            <w:hideMark/>
          </w:tcPr>
          <w:p w14:paraId="3FB77130" w14:textId="77777777" w:rsidR="00B30EAA" w:rsidRPr="00DC4B0A" w:rsidRDefault="00B30EAA" w:rsidP="00B30EAA">
            <w:pPr>
              <w:keepNext/>
              <w:keepLines/>
              <w:widowControl w:val="0"/>
              <w:spacing w:after="0"/>
              <w:rPr>
                <w:rFonts w:eastAsia="Times New Roman"/>
                <w:b/>
                <w:bCs/>
                <w:color w:val="FFFFFF"/>
                <w:sz w:val="20"/>
                <w:lang w:eastAsia="en-GB"/>
              </w:rPr>
            </w:pPr>
            <w:r w:rsidRPr="00DC4B0A">
              <w:rPr>
                <w:rFonts w:eastAsia="Times New Roman"/>
                <w:b/>
                <w:bCs/>
                <w:color w:val="FFFFFF"/>
                <w:sz w:val="20"/>
                <w:lang w:eastAsia="en-GB"/>
              </w:rPr>
              <w:t>Sector</w:t>
            </w:r>
          </w:p>
        </w:tc>
        <w:tc>
          <w:tcPr>
            <w:tcW w:w="1834" w:type="dxa"/>
            <w:tcBorders>
              <w:top w:val="single" w:sz="8" w:space="0" w:color="auto"/>
              <w:left w:val="nil"/>
              <w:bottom w:val="single" w:sz="8" w:space="0" w:color="auto"/>
              <w:right w:val="single" w:sz="8" w:space="0" w:color="auto"/>
            </w:tcBorders>
            <w:shd w:val="clear" w:color="000000" w:fill="008C9B"/>
            <w:vAlign w:val="center"/>
            <w:hideMark/>
          </w:tcPr>
          <w:p w14:paraId="7B7E0EAF" w14:textId="77777777" w:rsidR="00B30EAA" w:rsidRPr="00DC4B0A" w:rsidRDefault="00B30EAA" w:rsidP="00B30EAA">
            <w:pPr>
              <w:keepNext/>
              <w:keepLines/>
              <w:widowControl w:val="0"/>
              <w:spacing w:after="0"/>
              <w:jc w:val="center"/>
              <w:rPr>
                <w:rFonts w:eastAsia="Times New Roman"/>
                <w:b/>
                <w:bCs/>
                <w:color w:val="FFFFFF"/>
                <w:sz w:val="20"/>
                <w:lang w:eastAsia="en-GB"/>
              </w:rPr>
            </w:pPr>
            <w:r w:rsidRPr="00DC4B0A">
              <w:rPr>
                <w:rFonts w:eastAsia="Times New Roman"/>
                <w:b/>
                <w:bCs/>
                <w:color w:val="FFFFFF"/>
                <w:sz w:val="20"/>
                <w:lang w:eastAsia="en-GB"/>
              </w:rPr>
              <w:t>Percentage of Total</w:t>
            </w:r>
          </w:p>
        </w:tc>
      </w:tr>
      <w:tr w:rsidR="00B573D1" w:rsidRPr="00DC4B0A" w14:paraId="0E8BD637" w14:textId="77777777" w:rsidTr="009C1B11">
        <w:trPr>
          <w:trHeight w:val="300"/>
        </w:trPr>
        <w:tc>
          <w:tcPr>
            <w:tcW w:w="4866" w:type="dxa"/>
            <w:tcBorders>
              <w:top w:val="nil"/>
              <w:left w:val="single" w:sz="8" w:space="0" w:color="auto"/>
              <w:bottom w:val="nil"/>
              <w:right w:val="single" w:sz="8" w:space="0" w:color="auto"/>
            </w:tcBorders>
            <w:shd w:val="clear" w:color="auto" w:fill="auto"/>
            <w:vAlign w:val="center"/>
          </w:tcPr>
          <w:p w14:paraId="408615C4" w14:textId="21B7ADDD" w:rsidR="00B573D1" w:rsidRPr="00B573D1" w:rsidRDefault="00B573D1" w:rsidP="00B573D1">
            <w:pPr>
              <w:keepNext/>
              <w:keepLines/>
              <w:widowControl w:val="0"/>
              <w:spacing w:after="0"/>
              <w:rPr>
                <w:rFonts w:eastAsia="Times New Roman" w:cstheme="minorHAnsi"/>
                <w:color w:val="000000"/>
                <w:sz w:val="20"/>
                <w:lang w:eastAsia="en-GB"/>
              </w:rPr>
            </w:pPr>
            <w:r w:rsidRPr="00B573D1">
              <w:rPr>
                <w:rFonts w:eastAsia="Times New Roman" w:cs="Calibri"/>
                <w:color w:val="000000"/>
                <w:sz w:val="20"/>
                <w:lang w:eastAsia="en-GB"/>
              </w:rPr>
              <w:t>Construction</w:t>
            </w:r>
          </w:p>
        </w:tc>
        <w:tc>
          <w:tcPr>
            <w:tcW w:w="1834" w:type="dxa"/>
            <w:tcBorders>
              <w:top w:val="nil"/>
              <w:left w:val="nil"/>
              <w:bottom w:val="nil"/>
              <w:right w:val="single" w:sz="8" w:space="0" w:color="auto"/>
            </w:tcBorders>
            <w:shd w:val="clear" w:color="auto" w:fill="auto"/>
            <w:vAlign w:val="center"/>
          </w:tcPr>
          <w:p w14:paraId="72FDD2C5" w14:textId="732B99D0" w:rsidR="00B573D1" w:rsidRPr="00B573D1" w:rsidRDefault="00B573D1" w:rsidP="00B573D1">
            <w:pPr>
              <w:spacing w:after="0"/>
              <w:jc w:val="center"/>
              <w:rPr>
                <w:rFonts w:cs="Calibri"/>
                <w:color w:val="000000"/>
                <w:sz w:val="20"/>
              </w:rPr>
            </w:pPr>
            <w:r w:rsidRPr="00B573D1">
              <w:rPr>
                <w:rFonts w:eastAsia="Times New Roman" w:cs="Calibri"/>
                <w:color w:val="000000"/>
                <w:sz w:val="20"/>
                <w:lang w:eastAsia="en-GB"/>
              </w:rPr>
              <w:t>72.3%</w:t>
            </w:r>
          </w:p>
        </w:tc>
      </w:tr>
      <w:tr w:rsidR="00B573D1" w:rsidRPr="00DC4B0A" w14:paraId="5E828DC6" w14:textId="77777777" w:rsidTr="009C1B11">
        <w:trPr>
          <w:trHeight w:val="300"/>
        </w:trPr>
        <w:tc>
          <w:tcPr>
            <w:tcW w:w="4866" w:type="dxa"/>
            <w:tcBorders>
              <w:top w:val="nil"/>
              <w:left w:val="single" w:sz="8" w:space="0" w:color="auto"/>
              <w:bottom w:val="nil"/>
              <w:right w:val="single" w:sz="8" w:space="0" w:color="auto"/>
            </w:tcBorders>
            <w:shd w:val="clear" w:color="auto" w:fill="auto"/>
            <w:vAlign w:val="center"/>
          </w:tcPr>
          <w:p w14:paraId="25A5BF31" w14:textId="4C15B8F8" w:rsidR="00B573D1" w:rsidRPr="00B573D1" w:rsidRDefault="00B573D1" w:rsidP="00B573D1">
            <w:pPr>
              <w:keepNext/>
              <w:keepLines/>
              <w:widowControl w:val="0"/>
              <w:spacing w:after="0"/>
              <w:rPr>
                <w:rFonts w:cstheme="minorHAnsi"/>
                <w:color w:val="000000"/>
                <w:sz w:val="20"/>
              </w:rPr>
            </w:pPr>
            <w:r w:rsidRPr="00B573D1">
              <w:rPr>
                <w:rFonts w:eastAsia="Times New Roman" w:cs="Calibri"/>
                <w:color w:val="000000"/>
                <w:sz w:val="20"/>
                <w:lang w:eastAsia="en-GB"/>
              </w:rPr>
              <w:t>Real estate activities</w:t>
            </w:r>
          </w:p>
        </w:tc>
        <w:tc>
          <w:tcPr>
            <w:tcW w:w="1834" w:type="dxa"/>
            <w:tcBorders>
              <w:top w:val="nil"/>
              <w:left w:val="nil"/>
              <w:bottom w:val="nil"/>
              <w:right w:val="single" w:sz="8" w:space="0" w:color="auto"/>
            </w:tcBorders>
            <w:shd w:val="clear" w:color="auto" w:fill="auto"/>
            <w:vAlign w:val="center"/>
          </w:tcPr>
          <w:p w14:paraId="62A49204" w14:textId="75B91CBF" w:rsidR="00B573D1" w:rsidRPr="00B573D1" w:rsidRDefault="00B573D1" w:rsidP="00B573D1">
            <w:pPr>
              <w:spacing w:after="0"/>
              <w:jc w:val="center"/>
              <w:rPr>
                <w:rFonts w:cs="Calibri"/>
                <w:color w:val="000000"/>
                <w:sz w:val="20"/>
              </w:rPr>
            </w:pPr>
            <w:r w:rsidRPr="00B573D1">
              <w:rPr>
                <w:rFonts w:eastAsia="Times New Roman" w:cs="Calibri"/>
                <w:color w:val="000000"/>
                <w:sz w:val="20"/>
                <w:lang w:eastAsia="en-GB"/>
              </w:rPr>
              <w:t>9.8%</w:t>
            </w:r>
          </w:p>
        </w:tc>
      </w:tr>
      <w:tr w:rsidR="00B573D1" w:rsidRPr="00DC4B0A" w14:paraId="3F0232AD" w14:textId="77777777" w:rsidTr="009C1B11">
        <w:trPr>
          <w:trHeight w:val="315"/>
        </w:trPr>
        <w:tc>
          <w:tcPr>
            <w:tcW w:w="4866" w:type="dxa"/>
            <w:tcBorders>
              <w:top w:val="nil"/>
              <w:left w:val="single" w:sz="8" w:space="0" w:color="auto"/>
              <w:bottom w:val="nil"/>
              <w:right w:val="single" w:sz="8" w:space="0" w:color="auto"/>
            </w:tcBorders>
            <w:shd w:val="clear" w:color="auto" w:fill="auto"/>
            <w:vAlign w:val="center"/>
          </w:tcPr>
          <w:p w14:paraId="5185DB77" w14:textId="1F0DDD93" w:rsidR="00B573D1" w:rsidRPr="00B573D1" w:rsidRDefault="00B573D1" w:rsidP="00B573D1">
            <w:pPr>
              <w:keepNext/>
              <w:keepLines/>
              <w:widowControl w:val="0"/>
              <w:spacing w:after="0"/>
              <w:rPr>
                <w:rFonts w:eastAsia="Times New Roman" w:cstheme="minorHAnsi"/>
                <w:color w:val="000000"/>
                <w:sz w:val="20"/>
                <w:lang w:eastAsia="en-GB"/>
              </w:rPr>
            </w:pPr>
            <w:r w:rsidRPr="00B573D1">
              <w:rPr>
                <w:rFonts w:eastAsia="Times New Roman" w:cs="Calibri"/>
                <w:color w:val="000000"/>
                <w:sz w:val="20"/>
                <w:lang w:eastAsia="en-GB"/>
              </w:rPr>
              <w:t>Financial and insurance activities</w:t>
            </w:r>
          </w:p>
        </w:tc>
        <w:tc>
          <w:tcPr>
            <w:tcW w:w="1834" w:type="dxa"/>
            <w:tcBorders>
              <w:top w:val="nil"/>
              <w:left w:val="nil"/>
              <w:bottom w:val="nil"/>
              <w:right w:val="single" w:sz="8" w:space="0" w:color="auto"/>
            </w:tcBorders>
            <w:shd w:val="clear" w:color="auto" w:fill="auto"/>
            <w:vAlign w:val="center"/>
          </w:tcPr>
          <w:p w14:paraId="17414BB6" w14:textId="23701280" w:rsidR="00B573D1" w:rsidRPr="00B573D1" w:rsidRDefault="00B573D1" w:rsidP="00B573D1">
            <w:pPr>
              <w:keepNext/>
              <w:keepLines/>
              <w:widowControl w:val="0"/>
              <w:spacing w:after="0"/>
              <w:jc w:val="center"/>
              <w:rPr>
                <w:rFonts w:eastAsia="Times New Roman" w:cstheme="minorHAnsi"/>
                <w:color w:val="000000"/>
                <w:sz w:val="20"/>
                <w:lang w:eastAsia="en-GB"/>
              </w:rPr>
            </w:pPr>
            <w:r w:rsidRPr="00B573D1">
              <w:rPr>
                <w:rFonts w:eastAsia="Times New Roman" w:cs="Calibri"/>
                <w:color w:val="000000"/>
                <w:sz w:val="20"/>
                <w:lang w:eastAsia="en-GB"/>
              </w:rPr>
              <w:t>4.9%</w:t>
            </w:r>
          </w:p>
        </w:tc>
      </w:tr>
      <w:tr w:rsidR="00B573D1" w:rsidRPr="00DC4B0A" w14:paraId="0E2A568E" w14:textId="77777777" w:rsidTr="009C1B11">
        <w:trPr>
          <w:trHeight w:val="300"/>
        </w:trPr>
        <w:tc>
          <w:tcPr>
            <w:tcW w:w="4866" w:type="dxa"/>
            <w:tcBorders>
              <w:top w:val="nil"/>
              <w:left w:val="single" w:sz="8" w:space="0" w:color="auto"/>
              <w:bottom w:val="nil"/>
              <w:right w:val="single" w:sz="8" w:space="0" w:color="auto"/>
            </w:tcBorders>
            <w:shd w:val="clear" w:color="auto" w:fill="auto"/>
            <w:vAlign w:val="center"/>
          </w:tcPr>
          <w:p w14:paraId="525EDB1B" w14:textId="34602ED9" w:rsidR="00B573D1" w:rsidRPr="00B573D1" w:rsidRDefault="00B573D1" w:rsidP="00B573D1">
            <w:pPr>
              <w:keepNext/>
              <w:keepLines/>
              <w:widowControl w:val="0"/>
              <w:spacing w:after="0"/>
              <w:rPr>
                <w:rFonts w:eastAsia="Times New Roman" w:cstheme="minorHAnsi"/>
                <w:color w:val="000000"/>
                <w:sz w:val="20"/>
                <w:lang w:eastAsia="en-GB"/>
              </w:rPr>
            </w:pPr>
            <w:r w:rsidRPr="00B573D1">
              <w:rPr>
                <w:rFonts w:eastAsia="Times New Roman" w:cs="Calibri"/>
                <w:color w:val="000000"/>
                <w:sz w:val="20"/>
                <w:lang w:eastAsia="en-GB"/>
              </w:rPr>
              <w:t>Information and communication</w:t>
            </w:r>
          </w:p>
        </w:tc>
        <w:tc>
          <w:tcPr>
            <w:tcW w:w="1834" w:type="dxa"/>
            <w:tcBorders>
              <w:top w:val="nil"/>
              <w:left w:val="nil"/>
              <w:bottom w:val="nil"/>
              <w:right w:val="single" w:sz="8" w:space="0" w:color="auto"/>
            </w:tcBorders>
            <w:shd w:val="clear" w:color="auto" w:fill="auto"/>
            <w:vAlign w:val="center"/>
          </w:tcPr>
          <w:p w14:paraId="1C0886DC" w14:textId="29B3E04C" w:rsidR="00B573D1" w:rsidRPr="00B573D1" w:rsidRDefault="00B573D1" w:rsidP="00B573D1">
            <w:pPr>
              <w:keepNext/>
              <w:keepLines/>
              <w:widowControl w:val="0"/>
              <w:spacing w:after="0"/>
              <w:jc w:val="center"/>
              <w:rPr>
                <w:rFonts w:eastAsia="Times New Roman" w:cstheme="minorHAnsi"/>
                <w:color w:val="000000"/>
                <w:sz w:val="20"/>
                <w:lang w:eastAsia="en-GB"/>
              </w:rPr>
            </w:pPr>
            <w:r w:rsidRPr="00B573D1">
              <w:rPr>
                <w:rFonts w:eastAsia="Times New Roman" w:cs="Calibri"/>
                <w:color w:val="000000"/>
                <w:sz w:val="20"/>
                <w:lang w:eastAsia="en-GB"/>
              </w:rPr>
              <w:t>3.9%</w:t>
            </w:r>
          </w:p>
        </w:tc>
      </w:tr>
      <w:tr w:rsidR="00B573D1" w:rsidRPr="00DC4B0A" w14:paraId="2C96C2E4" w14:textId="77777777" w:rsidTr="009C1B11">
        <w:trPr>
          <w:trHeight w:val="315"/>
        </w:trPr>
        <w:tc>
          <w:tcPr>
            <w:tcW w:w="4866" w:type="dxa"/>
            <w:tcBorders>
              <w:top w:val="nil"/>
              <w:left w:val="single" w:sz="8" w:space="0" w:color="auto"/>
              <w:bottom w:val="nil"/>
              <w:right w:val="single" w:sz="8" w:space="0" w:color="auto"/>
            </w:tcBorders>
            <w:shd w:val="clear" w:color="auto" w:fill="auto"/>
            <w:vAlign w:val="center"/>
          </w:tcPr>
          <w:p w14:paraId="094734A5" w14:textId="3347FC79" w:rsidR="00B573D1" w:rsidRPr="00B573D1" w:rsidRDefault="00B573D1" w:rsidP="00B573D1">
            <w:pPr>
              <w:keepNext/>
              <w:keepLines/>
              <w:widowControl w:val="0"/>
              <w:spacing w:after="0"/>
              <w:rPr>
                <w:rFonts w:eastAsia="Times New Roman" w:cstheme="minorHAnsi"/>
                <w:color w:val="000000"/>
                <w:sz w:val="20"/>
                <w:lang w:eastAsia="en-GB"/>
              </w:rPr>
            </w:pPr>
            <w:r w:rsidRPr="00B573D1">
              <w:rPr>
                <w:rFonts w:eastAsia="Times New Roman" w:cs="Calibri"/>
                <w:color w:val="000000"/>
                <w:sz w:val="20"/>
                <w:lang w:eastAsia="en-GB"/>
              </w:rPr>
              <w:t>Manufacturing</w:t>
            </w:r>
          </w:p>
        </w:tc>
        <w:tc>
          <w:tcPr>
            <w:tcW w:w="1834" w:type="dxa"/>
            <w:tcBorders>
              <w:top w:val="nil"/>
              <w:left w:val="nil"/>
              <w:bottom w:val="nil"/>
              <w:right w:val="single" w:sz="8" w:space="0" w:color="auto"/>
            </w:tcBorders>
            <w:shd w:val="clear" w:color="auto" w:fill="auto"/>
            <w:vAlign w:val="center"/>
          </w:tcPr>
          <w:p w14:paraId="0BBB541E" w14:textId="78C70B3B" w:rsidR="00B573D1" w:rsidRPr="00B573D1" w:rsidRDefault="00B573D1" w:rsidP="00B573D1">
            <w:pPr>
              <w:keepNext/>
              <w:keepLines/>
              <w:widowControl w:val="0"/>
              <w:spacing w:after="0"/>
              <w:jc w:val="center"/>
              <w:rPr>
                <w:rFonts w:eastAsia="Times New Roman" w:cstheme="minorHAnsi"/>
                <w:color w:val="000000"/>
                <w:sz w:val="20"/>
                <w:lang w:eastAsia="en-GB"/>
              </w:rPr>
            </w:pPr>
            <w:r w:rsidRPr="00B573D1">
              <w:rPr>
                <w:rFonts w:eastAsia="Times New Roman" w:cs="Calibri"/>
                <w:color w:val="000000"/>
                <w:sz w:val="20"/>
                <w:lang w:eastAsia="en-GB"/>
              </w:rPr>
              <w:t>2.2%</w:t>
            </w:r>
          </w:p>
        </w:tc>
      </w:tr>
      <w:tr w:rsidR="00B573D1" w:rsidRPr="00DC4B0A" w14:paraId="6B821D56" w14:textId="77777777" w:rsidTr="009C1B11">
        <w:trPr>
          <w:trHeight w:val="300"/>
        </w:trPr>
        <w:tc>
          <w:tcPr>
            <w:tcW w:w="4866" w:type="dxa"/>
            <w:tcBorders>
              <w:top w:val="nil"/>
              <w:left w:val="single" w:sz="8" w:space="0" w:color="auto"/>
              <w:bottom w:val="nil"/>
              <w:right w:val="single" w:sz="8" w:space="0" w:color="auto"/>
            </w:tcBorders>
            <w:shd w:val="clear" w:color="auto" w:fill="auto"/>
            <w:vAlign w:val="center"/>
          </w:tcPr>
          <w:p w14:paraId="2EBF5CF3" w14:textId="2A3D15CB" w:rsidR="00B573D1" w:rsidRPr="00B573D1" w:rsidRDefault="00B573D1" w:rsidP="00B573D1">
            <w:pPr>
              <w:keepNext/>
              <w:keepLines/>
              <w:widowControl w:val="0"/>
              <w:spacing w:after="0"/>
              <w:rPr>
                <w:rFonts w:eastAsia="Times New Roman" w:cstheme="minorHAnsi"/>
                <w:color w:val="000000"/>
                <w:sz w:val="20"/>
                <w:lang w:eastAsia="en-GB"/>
              </w:rPr>
            </w:pPr>
            <w:r w:rsidRPr="00B573D1">
              <w:rPr>
                <w:rFonts w:eastAsia="Times New Roman" w:cs="Calibri"/>
                <w:color w:val="000000"/>
                <w:sz w:val="20"/>
                <w:lang w:eastAsia="en-GB"/>
              </w:rPr>
              <w:t xml:space="preserve">Professional, </w:t>
            </w:r>
            <w:proofErr w:type="gramStart"/>
            <w:r w:rsidRPr="00B573D1">
              <w:rPr>
                <w:rFonts w:eastAsia="Times New Roman" w:cs="Calibri"/>
                <w:color w:val="000000"/>
                <w:sz w:val="20"/>
                <w:lang w:eastAsia="en-GB"/>
              </w:rPr>
              <w:t>scientific</w:t>
            </w:r>
            <w:proofErr w:type="gramEnd"/>
            <w:r w:rsidRPr="00B573D1">
              <w:rPr>
                <w:rFonts w:eastAsia="Times New Roman" w:cs="Calibri"/>
                <w:color w:val="000000"/>
                <w:sz w:val="20"/>
                <w:lang w:eastAsia="en-GB"/>
              </w:rPr>
              <w:t xml:space="preserve"> and technical activities</w:t>
            </w:r>
          </w:p>
        </w:tc>
        <w:tc>
          <w:tcPr>
            <w:tcW w:w="1834" w:type="dxa"/>
            <w:tcBorders>
              <w:top w:val="nil"/>
              <w:left w:val="nil"/>
              <w:bottom w:val="nil"/>
              <w:right w:val="single" w:sz="8" w:space="0" w:color="auto"/>
            </w:tcBorders>
            <w:shd w:val="clear" w:color="auto" w:fill="auto"/>
            <w:vAlign w:val="center"/>
          </w:tcPr>
          <w:p w14:paraId="7E5DB1FC" w14:textId="526207BE" w:rsidR="00B573D1" w:rsidRPr="00B573D1" w:rsidRDefault="00B573D1" w:rsidP="00B573D1">
            <w:pPr>
              <w:keepNext/>
              <w:keepLines/>
              <w:widowControl w:val="0"/>
              <w:spacing w:after="0"/>
              <w:jc w:val="center"/>
              <w:rPr>
                <w:rFonts w:eastAsia="Times New Roman" w:cstheme="minorHAnsi"/>
                <w:color w:val="000000"/>
                <w:sz w:val="20"/>
                <w:lang w:eastAsia="en-GB"/>
              </w:rPr>
            </w:pPr>
            <w:r w:rsidRPr="00B573D1">
              <w:rPr>
                <w:rFonts w:eastAsia="Times New Roman" w:cs="Calibri"/>
                <w:color w:val="000000"/>
                <w:sz w:val="20"/>
                <w:lang w:eastAsia="en-GB"/>
              </w:rPr>
              <w:t>2.0%</w:t>
            </w:r>
          </w:p>
        </w:tc>
      </w:tr>
      <w:tr w:rsidR="00B573D1" w:rsidRPr="00DC4B0A" w14:paraId="736B7B40" w14:textId="77777777" w:rsidTr="009C1B11">
        <w:trPr>
          <w:trHeight w:val="300"/>
        </w:trPr>
        <w:tc>
          <w:tcPr>
            <w:tcW w:w="4866" w:type="dxa"/>
            <w:tcBorders>
              <w:top w:val="nil"/>
              <w:left w:val="single" w:sz="8" w:space="0" w:color="auto"/>
              <w:bottom w:val="nil"/>
              <w:right w:val="single" w:sz="8" w:space="0" w:color="auto"/>
            </w:tcBorders>
            <w:shd w:val="clear" w:color="auto" w:fill="auto"/>
            <w:vAlign w:val="center"/>
          </w:tcPr>
          <w:p w14:paraId="79AC51C4" w14:textId="6409073D" w:rsidR="00B573D1" w:rsidRPr="00B573D1" w:rsidRDefault="00B573D1" w:rsidP="00B573D1">
            <w:pPr>
              <w:keepNext/>
              <w:keepLines/>
              <w:widowControl w:val="0"/>
              <w:spacing w:after="0"/>
              <w:rPr>
                <w:rFonts w:eastAsia="Times New Roman" w:cstheme="minorHAnsi"/>
                <w:color w:val="000000"/>
                <w:sz w:val="20"/>
                <w:lang w:eastAsia="en-GB"/>
              </w:rPr>
            </w:pPr>
            <w:r w:rsidRPr="00B573D1">
              <w:rPr>
                <w:rFonts w:eastAsia="Times New Roman" w:cs="Calibri"/>
                <w:color w:val="000000"/>
                <w:sz w:val="20"/>
                <w:lang w:eastAsia="en-GB"/>
              </w:rPr>
              <w:t>Administrative and support service activities</w:t>
            </w:r>
          </w:p>
        </w:tc>
        <w:tc>
          <w:tcPr>
            <w:tcW w:w="1834" w:type="dxa"/>
            <w:tcBorders>
              <w:top w:val="nil"/>
              <w:left w:val="nil"/>
              <w:bottom w:val="nil"/>
              <w:right w:val="single" w:sz="8" w:space="0" w:color="auto"/>
            </w:tcBorders>
            <w:shd w:val="clear" w:color="auto" w:fill="auto"/>
            <w:vAlign w:val="center"/>
          </w:tcPr>
          <w:p w14:paraId="62C9D133" w14:textId="258F24B3" w:rsidR="00B573D1" w:rsidRPr="00B573D1" w:rsidRDefault="00B573D1" w:rsidP="00B573D1">
            <w:pPr>
              <w:keepNext/>
              <w:keepLines/>
              <w:widowControl w:val="0"/>
              <w:spacing w:after="0"/>
              <w:jc w:val="center"/>
              <w:rPr>
                <w:rFonts w:eastAsia="Times New Roman" w:cstheme="minorHAnsi"/>
                <w:color w:val="000000"/>
                <w:sz w:val="20"/>
                <w:lang w:eastAsia="en-GB"/>
              </w:rPr>
            </w:pPr>
            <w:r w:rsidRPr="00B573D1">
              <w:rPr>
                <w:rFonts w:eastAsia="Times New Roman" w:cs="Calibri"/>
                <w:color w:val="000000"/>
                <w:sz w:val="20"/>
                <w:lang w:eastAsia="en-GB"/>
              </w:rPr>
              <w:t>1.9%</w:t>
            </w:r>
          </w:p>
        </w:tc>
      </w:tr>
      <w:tr w:rsidR="00B573D1" w:rsidRPr="00DC4B0A" w14:paraId="24D9EF3E" w14:textId="77777777" w:rsidTr="009C1B11">
        <w:trPr>
          <w:trHeight w:val="300"/>
        </w:trPr>
        <w:tc>
          <w:tcPr>
            <w:tcW w:w="4866" w:type="dxa"/>
            <w:tcBorders>
              <w:top w:val="nil"/>
              <w:left w:val="single" w:sz="8" w:space="0" w:color="auto"/>
              <w:bottom w:val="nil"/>
              <w:right w:val="single" w:sz="8" w:space="0" w:color="auto"/>
            </w:tcBorders>
            <w:shd w:val="clear" w:color="auto" w:fill="auto"/>
            <w:vAlign w:val="center"/>
          </w:tcPr>
          <w:p w14:paraId="7D642B66" w14:textId="5DAA74C8" w:rsidR="00B573D1" w:rsidRPr="00B573D1" w:rsidRDefault="00B573D1" w:rsidP="00B573D1">
            <w:pPr>
              <w:keepNext/>
              <w:keepLines/>
              <w:widowControl w:val="0"/>
              <w:spacing w:after="0"/>
              <w:rPr>
                <w:rFonts w:eastAsia="Times New Roman" w:cstheme="minorHAnsi"/>
                <w:color w:val="000000"/>
                <w:sz w:val="20"/>
                <w:lang w:eastAsia="en-GB"/>
              </w:rPr>
            </w:pPr>
            <w:r w:rsidRPr="00B573D1">
              <w:rPr>
                <w:rFonts w:eastAsia="Times New Roman" w:cs="Calibri"/>
                <w:color w:val="000000"/>
                <w:sz w:val="20"/>
                <w:lang w:eastAsia="en-GB"/>
              </w:rPr>
              <w:t>Water supply; sewerage, waste management</w:t>
            </w:r>
          </w:p>
        </w:tc>
        <w:tc>
          <w:tcPr>
            <w:tcW w:w="1834" w:type="dxa"/>
            <w:tcBorders>
              <w:top w:val="nil"/>
              <w:left w:val="nil"/>
              <w:bottom w:val="nil"/>
              <w:right w:val="single" w:sz="8" w:space="0" w:color="auto"/>
            </w:tcBorders>
            <w:shd w:val="clear" w:color="auto" w:fill="auto"/>
            <w:vAlign w:val="center"/>
          </w:tcPr>
          <w:p w14:paraId="06E1F0A7" w14:textId="485AFDDF" w:rsidR="00B573D1" w:rsidRPr="00B573D1" w:rsidRDefault="00B573D1" w:rsidP="00B573D1">
            <w:pPr>
              <w:keepNext/>
              <w:keepLines/>
              <w:widowControl w:val="0"/>
              <w:spacing w:after="0"/>
              <w:jc w:val="center"/>
              <w:rPr>
                <w:rFonts w:eastAsia="Times New Roman" w:cstheme="minorHAnsi"/>
                <w:color w:val="000000"/>
                <w:sz w:val="20"/>
                <w:lang w:eastAsia="en-GB"/>
              </w:rPr>
            </w:pPr>
            <w:r w:rsidRPr="00B573D1">
              <w:rPr>
                <w:rFonts w:eastAsia="Times New Roman" w:cs="Calibri"/>
                <w:color w:val="000000"/>
                <w:sz w:val="20"/>
                <w:lang w:eastAsia="en-GB"/>
              </w:rPr>
              <w:t>1.0%</w:t>
            </w:r>
          </w:p>
        </w:tc>
      </w:tr>
      <w:tr w:rsidR="00B573D1" w:rsidRPr="00DC4B0A" w14:paraId="6620041C" w14:textId="77777777" w:rsidTr="009C1B11">
        <w:trPr>
          <w:trHeight w:val="315"/>
        </w:trPr>
        <w:tc>
          <w:tcPr>
            <w:tcW w:w="4866" w:type="dxa"/>
            <w:tcBorders>
              <w:top w:val="nil"/>
              <w:left w:val="single" w:sz="8" w:space="0" w:color="auto"/>
              <w:bottom w:val="nil"/>
              <w:right w:val="single" w:sz="8" w:space="0" w:color="auto"/>
            </w:tcBorders>
            <w:shd w:val="clear" w:color="auto" w:fill="auto"/>
            <w:vAlign w:val="center"/>
          </w:tcPr>
          <w:p w14:paraId="57BBD651" w14:textId="178A5EAA" w:rsidR="00B573D1" w:rsidRPr="00B573D1" w:rsidRDefault="00B573D1" w:rsidP="00B573D1">
            <w:pPr>
              <w:keepNext/>
              <w:keepLines/>
              <w:widowControl w:val="0"/>
              <w:spacing w:after="0"/>
              <w:rPr>
                <w:rFonts w:eastAsia="Times New Roman" w:cstheme="minorHAnsi"/>
                <w:color w:val="000000"/>
                <w:sz w:val="20"/>
                <w:lang w:eastAsia="en-GB"/>
              </w:rPr>
            </w:pPr>
            <w:r w:rsidRPr="00B573D1">
              <w:rPr>
                <w:rFonts w:eastAsia="Times New Roman" w:cs="Calibri"/>
                <w:color w:val="000000"/>
                <w:sz w:val="20"/>
                <w:lang w:eastAsia="en-GB"/>
              </w:rPr>
              <w:t>Transportation and storage</w:t>
            </w:r>
          </w:p>
        </w:tc>
        <w:tc>
          <w:tcPr>
            <w:tcW w:w="1834" w:type="dxa"/>
            <w:tcBorders>
              <w:top w:val="nil"/>
              <w:left w:val="nil"/>
              <w:bottom w:val="nil"/>
              <w:right w:val="single" w:sz="8" w:space="0" w:color="auto"/>
            </w:tcBorders>
            <w:shd w:val="clear" w:color="auto" w:fill="auto"/>
            <w:vAlign w:val="center"/>
          </w:tcPr>
          <w:p w14:paraId="5C19D57D" w14:textId="695B2311" w:rsidR="00B573D1" w:rsidRPr="00B573D1" w:rsidRDefault="00B573D1" w:rsidP="00B573D1">
            <w:pPr>
              <w:keepNext/>
              <w:keepLines/>
              <w:widowControl w:val="0"/>
              <w:spacing w:after="0"/>
              <w:jc w:val="center"/>
              <w:rPr>
                <w:rFonts w:eastAsia="Times New Roman" w:cstheme="minorHAnsi"/>
                <w:color w:val="000000"/>
                <w:sz w:val="20"/>
                <w:lang w:eastAsia="en-GB"/>
              </w:rPr>
            </w:pPr>
            <w:r w:rsidRPr="00B573D1">
              <w:rPr>
                <w:rFonts w:eastAsia="Times New Roman" w:cs="Calibri"/>
                <w:color w:val="000000"/>
                <w:sz w:val="20"/>
                <w:lang w:eastAsia="en-GB"/>
              </w:rPr>
              <w:t>0.7%</w:t>
            </w:r>
          </w:p>
        </w:tc>
      </w:tr>
      <w:tr w:rsidR="00B573D1" w:rsidRPr="00DC4B0A" w14:paraId="26150084" w14:textId="77777777" w:rsidTr="009C1B11">
        <w:trPr>
          <w:trHeight w:val="315"/>
        </w:trPr>
        <w:tc>
          <w:tcPr>
            <w:tcW w:w="4866" w:type="dxa"/>
            <w:tcBorders>
              <w:top w:val="nil"/>
              <w:left w:val="single" w:sz="8" w:space="0" w:color="auto"/>
              <w:bottom w:val="nil"/>
              <w:right w:val="single" w:sz="8" w:space="0" w:color="auto"/>
            </w:tcBorders>
            <w:shd w:val="clear" w:color="auto" w:fill="auto"/>
            <w:vAlign w:val="center"/>
          </w:tcPr>
          <w:p w14:paraId="754A8EFE" w14:textId="5C36BA30" w:rsidR="00B573D1" w:rsidRPr="00B573D1" w:rsidRDefault="00B573D1" w:rsidP="00B573D1">
            <w:pPr>
              <w:keepNext/>
              <w:keepLines/>
              <w:widowControl w:val="0"/>
              <w:spacing w:after="0"/>
              <w:rPr>
                <w:rFonts w:eastAsia="Times New Roman" w:cstheme="minorHAnsi"/>
                <w:color w:val="000000"/>
                <w:sz w:val="20"/>
                <w:lang w:eastAsia="en-GB"/>
              </w:rPr>
            </w:pPr>
            <w:r w:rsidRPr="00B573D1">
              <w:rPr>
                <w:rFonts w:eastAsia="Times New Roman" w:cs="Calibri"/>
                <w:color w:val="000000"/>
                <w:sz w:val="20"/>
                <w:lang w:eastAsia="en-GB"/>
              </w:rPr>
              <w:t xml:space="preserve">Electricity, gas, </w:t>
            </w:r>
            <w:proofErr w:type="gramStart"/>
            <w:r w:rsidRPr="00B573D1">
              <w:rPr>
                <w:rFonts w:eastAsia="Times New Roman" w:cs="Calibri"/>
                <w:color w:val="000000"/>
                <w:sz w:val="20"/>
                <w:lang w:eastAsia="en-GB"/>
              </w:rPr>
              <w:t>steam</w:t>
            </w:r>
            <w:proofErr w:type="gramEnd"/>
            <w:r w:rsidRPr="00B573D1">
              <w:rPr>
                <w:rFonts w:eastAsia="Times New Roman" w:cs="Calibri"/>
                <w:color w:val="000000"/>
                <w:sz w:val="20"/>
                <w:lang w:eastAsia="en-GB"/>
              </w:rPr>
              <w:t xml:space="preserve"> and air-conditioning supply</w:t>
            </w:r>
          </w:p>
        </w:tc>
        <w:tc>
          <w:tcPr>
            <w:tcW w:w="1834" w:type="dxa"/>
            <w:tcBorders>
              <w:top w:val="nil"/>
              <w:left w:val="nil"/>
              <w:bottom w:val="nil"/>
              <w:right w:val="single" w:sz="8" w:space="0" w:color="auto"/>
            </w:tcBorders>
            <w:shd w:val="clear" w:color="auto" w:fill="auto"/>
            <w:vAlign w:val="center"/>
          </w:tcPr>
          <w:p w14:paraId="485CAAE5" w14:textId="7E824784" w:rsidR="00B573D1" w:rsidRPr="00B573D1" w:rsidRDefault="00B573D1" w:rsidP="00B573D1">
            <w:pPr>
              <w:keepNext/>
              <w:keepLines/>
              <w:widowControl w:val="0"/>
              <w:spacing w:after="0"/>
              <w:jc w:val="center"/>
              <w:rPr>
                <w:rFonts w:eastAsia="Times New Roman" w:cstheme="minorHAnsi"/>
                <w:color w:val="000000"/>
                <w:sz w:val="20"/>
                <w:lang w:eastAsia="en-GB"/>
              </w:rPr>
            </w:pPr>
            <w:r w:rsidRPr="00B573D1">
              <w:rPr>
                <w:rFonts w:eastAsia="Times New Roman" w:cs="Calibri"/>
                <w:color w:val="000000"/>
                <w:sz w:val="20"/>
                <w:lang w:eastAsia="en-GB"/>
              </w:rPr>
              <w:t>0.5%</w:t>
            </w:r>
          </w:p>
        </w:tc>
      </w:tr>
      <w:tr w:rsidR="00B573D1" w:rsidRPr="00DC4B0A" w14:paraId="04DD917B" w14:textId="77777777" w:rsidTr="009C1B11">
        <w:trPr>
          <w:trHeight w:val="300"/>
        </w:trPr>
        <w:tc>
          <w:tcPr>
            <w:tcW w:w="4866" w:type="dxa"/>
            <w:tcBorders>
              <w:top w:val="nil"/>
              <w:left w:val="single" w:sz="8" w:space="0" w:color="auto"/>
              <w:right w:val="single" w:sz="8" w:space="0" w:color="auto"/>
            </w:tcBorders>
            <w:shd w:val="clear" w:color="auto" w:fill="auto"/>
            <w:vAlign w:val="center"/>
          </w:tcPr>
          <w:p w14:paraId="0EC17BF5" w14:textId="4C8BD7DE" w:rsidR="00B573D1" w:rsidRPr="00B573D1" w:rsidRDefault="00B573D1" w:rsidP="00B573D1">
            <w:pPr>
              <w:keepNext/>
              <w:keepLines/>
              <w:widowControl w:val="0"/>
              <w:spacing w:after="0"/>
              <w:rPr>
                <w:rFonts w:eastAsia="Times New Roman" w:cstheme="minorHAnsi"/>
                <w:color w:val="000000"/>
                <w:sz w:val="20"/>
                <w:lang w:eastAsia="en-GB"/>
              </w:rPr>
            </w:pPr>
            <w:r w:rsidRPr="00B573D1">
              <w:rPr>
                <w:rFonts w:eastAsia="Times New Roman" w:cs="Calibri"/>
                <w:color w:val="000000"/>
                <w:sz w:val="20"/>
                <w:lang w:eastAsia="en-GB"/>
              </w:rPr>
              <w:t>Education</w:t>
            </w:r>
          </w:p>
        </w:tc>
        <w:tc>
          <w:tcPr>
            <w:tcW w:w="1834" w:type="dxa"/>
            <w:tcBorders>
              <w:top w:val="nil"/>
              <w:left w:val="nil"/>
              <w:right w:val="single" w:sz="8" w:space="0" w:color="auto"/>
            </w:tcBorders>
            <w:shd w:val="clear" w:color="auto" w:fill="auto"/>
            <w:vAlign w:val="center"/>
          </w:tcPr>
          <w:p w14:paraId="2FBD1BBB" w14:textId="153CD22E" w:rsidR="00B573D1" w:rsidRPr="00B573D1" w:rsidRDefault="00B573D1" w:rsidP="00B573D1">
            <w:pPr>
              <w:keepNext/>
              <w:keepLines/>
              <w:widowControl w:val="0"/>
              <w:spacing w:after="0"/>
              <w:jc w:val="center"/>
              <w:rPr>
                <w:rFonts w:eastAsia="Times New Roman" w:cstheme="minorHAnsi"/>
                <w:color w:val="000000"/>
                <w:sz w:val="20"/>
                <w:lang w:eastAsia="en-GB"/>
              </w:rPr>
            </w:pPr>
            <w:r w:rsidRPr="00B573D1">
              <w:rPr>
                <w:rFonts w:eastAsia="Times New Roman" w:cs="Calibri"/>
                <w:color w:val="000000"/>
                <w:sz w:val="20"/>
                <w:lang w:eastAsia="en-GB"/>
              </w:rPr>
              <w:t>0.5%</w:t>
            </w:r>
          </w:p>
        </w:tc>
      </w:tr>
      <w:tr w:rsidR="00B573D1" w:rsidRPr="00DC4B0A" w14:paraId="6AAFD62F" w14:textId="77777777" w:rsidTr="009C1B11">
        <w:trPr>
          <w:trHeight w:val="300"/>
        </w:trPr>
        <w:tc>
          <w:tcPr>
            <w:tcW w:w="4866" w:type="dxa"/>
            <w:tcBorders>
              <w:top w:val="nil"/>
              <w:left w:val="single" w:sz="8" w:space="0" w:color="auto"/>
              <w:bottom w:val="single" w:sz="4" w:space="0" w:color="auto"/>
              <w:right w:val="single" w:sz="8" w:space="0" w:color="auto"/>
            </w:tcBorders>
            <w:shd w:val="clear" w:color="auto" w:fill="auto"/>
            <w:vAlign w:val="center"/>
          </w:tcPr>
          <w:p w14:paraId="4322C62B" w14:textId="1A428BFC" w:rsidR="00B573D1" w:rsidRPr="00B573D1" w:rsidRDefault="00B573D1" w:rsidP="00B573D1">
            <w:pPr>
              <w:keepNext/>
              <w:keepLines/>
              <w:widowControl w:val="0"/>
              <w:spacing w:after="0"/>
              <w:rPr>
                <w:rFonts w:eastAsia="Times New Roman" w:cstheme="minorHAnsi"/>
                <w:color w:val="000000"/>
                <w:sz w:val="20"/>
                <w:lang w:eastAsia="en-GB"/>
              </w:rPr>
            </w:pPr>
            <w:r w:rsidRPr="00B573D1">
              <w:rPr>
                <w:rFonts w:eastAsia="Times New Roman" w:cs="Calibri"/>
                <w:color w:val="000000"/>
                <w:sz w:val="20"/>
                <w:lang w:eastAsia="en-GB"/>
              </w:rPr>
              <w:t>Accommodation and food service activities</w:t>
            </w:r>
          </w:p>
        </w:tc>
        <w:tc>
          <w:tcPr>
            <w:tcW w:w="1834" w:type="dxa"/>
            <w:tcBorders>
              <w:top w:val="nil"/>
              <w:left w:val="nil"/>
              <w:bottom w:val="single" w:sz="4" w:space="0" w:color="auto"/>
              <w:right w:val="single" w:sz="8" w:space="0" w:color="auto"/>
            </w:tcBorders>
            <w:shd w:val="clear" w:color="auto" w:fill="auto"/>
            <w:vAlign w:val="center"/>
          </w:tcPr>
          <w:p w14:paraId="28193916" w14:textId="6FE21F38" w:rsidR="00B573D1" w:rsidRPr="00B573D1" w:rsidRDefault="00B573D1" w:rsidP="00B573D1">
            <w:pPr>
              <w:keepNext/>
              <w:keepLines/>
              <w:widowControl w:val="0"/>
              <w:spacing w:after="0"/>
              <w:jc w:val="center"/>
              <w:rPr>
                <w:rFonts w:eastAsia="Times New Roman" w:cstheme="minorHAnsi"/>
                <w:color w:val="000000"/>
                <w:sz w:val="20"/>
                <w:lang w:eastAsia="en-GB"/>
              </w:rPr>
            </w:pPr>
            <w:r w:rsidRPr="00B573D1">
              <w:rPr>
                <w:rFonts w:eastAsia="Times New Roman" w:cs="Calibri"/>
                <w:color w:val="000000"/>
                <w:sz w:val="20"/>
                <w:lang w:eastAsia="en-GB"/>
              </w:rPr>
              <w:t>0.3%</w:t>
            </w:r>
          </w:p>
        </w:tc>
      </w:tr>
    </w:tbl>
    <w:p w14:paraId="1D206096" w14:textId="33806EF3" w:rsidR="00B30EAA" w:rsidRPr="00B30EAA" w:rsidRDefault="00B30EAA" w:rsidP="00B30EAA">
      <w:pPr>
        <w:pStyle w:val="ListBullet"/>
        <w:spacing w:before="120"/>
        <w:jc w:val="right"/>
        <w:rPr>
          <w:bCs/>
          <w:i/>
          <w:sz w:val="18"/>
        </w:rPr>
      </w:pPr>
      <w:r w:rsidRPr="00B30EAA">
        <w:rPr>
          <w:bCs/>
          <w:i/>
          <w:sz w:val="18"/>
        </w:rPr>
        <w:t>Source: NHF, HCA, ONS, Cebr analysis</w:t>
      </w:r>
    </w:p>
    <w:p w14:paraId="6C1DF51E" w14:textId="3DD290C4" w:rsidR="002E1648" w:rsidRPr="004F74B1" w:rsidRDefault="00B30EAA" w:rsidP="00F76D67">
      <w:pPr>
        <w:pStyle w:val="Heading1"/>
        <w:numPr>
          <w:ilvl w:val="0"/>
          <w:numId w:val="7"/>
        </w:numPr>
        <w:spacing w:after="120"/>
        <w:rPr>
          <w:b/>
          <w:bCs/>
          <w:color w:val="008C9B" w:themeColor="text2"/>
        </w:rPr>
      </w:pPr>
      <w:bookmarkStart w:id="19" w:name="_Toc33694502"/>
      <w:bookmarkStart w:id="20" w:name="_Toc66786716"/>
      <w:r w:rsidRPr="00B30EAA">
        <w:rPr>
          <w:b/>
          <w:bCs/>
          <w:color w:val="008C9B" w:themeColor="text2"/>
        </w:rPr>
        <w:lastRenderedPageBreak/>
        <w:t>Economic</w:t>
      </w:r>
      <w:r>
        <w:t xml:space="preserve"> </w:t>
      </w:r>
      <w:r w:rsidRPr="00B30EAA">
        <w:rPr>
          <w:b/>
          <w:bCs/>
          <w:color w:val="008C9B" w:themeColor="text2"/>
        </w:rPr>
        <w:t>impact of HA investments in new affordable homes</w:t>
      </w:r>
      <w:bookmarkEnd w:id="14"/>
      <w:bookmarkEnd w:id="15"/>
      <w:bookmarkEnd w:id="16"/>
      <w:bookmarkEnd w:id="19"/>
      <w:bookmarkEnd w:id="20"/>
    </w:p>
    <w:p w14:paraId="54517396" w14:textId="77777777" w:rsidR="002E1648" w:rsidRDefault="002E1648" w:rsidP="00524842">
      <w:pPr>
        <w:jc w:val="both"/>
        <w:sectPr w:rsidR="002E1648" w:rsidSect="002E1648">
          <w:type w:val="continuous"/>
          <w:pgSz w:w="11906" w:h="16838" w:code="9"/>
          <w:pgMar w:top="1440" w:right="1440" w:bottom="284" w:left="1440" w:header="709" w:footer="709" w:gutter="0"/>
          <w:cols w:space="708"/>
          <w:docGrid w:linePitch="360"/>
        </w:sectPr>
      </w:pPr>
    </w:p>
    <w:p w14:paraId="33048B5C" w14:textId="77777777" w:rsidR="00B30EAA" w:rsidRDefault="00B30EAA" w:rsidP="007D3E32">
      <w:pPr>
        <w:spacing w:line="276" w:lineRule="auto"/>
        <w:jc w:val="both"/>
        <w:rPr>
          <w:rFonts w:cs="Calibri"/>
        </w:rPr>
      </w:pPr>
      <w:r>
        <w:rPr>
          <w:rFonts w:cs="Calibri"/>
        </w:rPr>
        <w:t>This section provides the methodology and assumptions underlying Worksheet 3: Impacts of Affordable Homes Investment in the LEIC. This allows LEIC users to estimate the economic impacts of their</w:t>
      </w:r>
      <w:r>
        <w:t xml:space="preserve"> investments in new affordable housing. </w:t>
      </w:r>
    </w:p>
    <w:p w14:paraId="50630E7B" w14:textId="77777777" w:rsidR="00B30EAA" w:rsidRPr="002E57B1" w:rsidRDefault="00B30EAA" w:rsidP="007D3E32">
      <w:pPr>
        <w:spacing w:line="276" w:lineRule="auto"/>
        <w:jc w:val="both"/>
        <w:rPr>
          <w:rFonts w:cs="Calibri"/>
        </w:rPr>
      </w:pPr>
      <w:r w:rsidRPr="002F6B91">
        <w:rPr>
          <w:rFonts w:cs="Calibri"/>
        </w:rPr>
        <w:t>The process</w:t>
      </w:r>
      <w:r>
        <w:rPr>
          <w:rFonts w:cs="Calibri"/>
        </w:rPr>
        <w:t xml:space="preserve"> of estimating these impacts </w:t>
      </w:r>
      <w:r w:rsidRPr="002F6B91">
        <w:rPr>
          <w:rFonts w:cs="Calibri"/>
        </w:rPr>
        <w:t xml:space="preserve">is much the same </w:t>
      </w:r>
      <w:r>
        <w:rPr>
          <w:rFonts w:cs="Calibri"/>
        </w:rPr>
        <w:t xml:space="preserve">as </w:t>
      </w:r>
      <w:r w:rsidRPr="002F6B91">
        <w:rPr>
          <w:rFonts w:cs="Calibri"/>
        </w:rPr>
        <w:t xml:space="preserve">for estimating the </w:t>
      </w:r>
      <w:r>
        <w:rPr>
          <w:rFonts w:cs="Calibri"/>
        </w:rPr>
        <w:t xml:space="preserve">impacts of </w:t>
      </w:r>
      <w:proofErr w:type="spellStart"/>
      <w:r>
        <w:rPr>
          <w:rFonts w:cs="Calibri"/>
        </w:rPr>
        <w:t>HAs’</w:t>
      </w:r>
      <w:proofErr w:type="spellEnd"/>
      <w:r>
        <w:rPr>
          <w:rFonts w:cs="Calibri"/>
        </w:rPr>
        <w:t xml:space="preserve"> day-to-day activities, as described above. But there are some important differences, as outlined here. </w:t>
      </w:r>
      <w:r w:rsidRPr="002E57B1">
        <w:rPr>
          <w:rFonts w:cs="Calibri"/>
        </w:rPr>
        <w:t xml:space="preserve">For </w:t>
      </w:r>
      <w:r>
        <w:rPr>
          <w:rFonts w:cs="Calibri"/>
        </w:rPr>
        <w:t>affordable housing investment</w:t>
      </w:r>
      <w:r w:rsidRPr="002E57B1">
        <w:rPr>
          <w:rFonts w:cs="Calibri"/>
        </w:rPr>
        <w:t xml:space="preserve">, the relevant economic indicators </w:t>
      </w:r>
      <w:r>
        <w:rPr>
          <w:rFonts w:cs="Calibri"/>
        </w:rPr>
        <w:t xml:space="preserve">are estimated </w:t>
      </w:r>
      <w:r w:rsidRPr="002E57B1">
        <w:rPr>
          <w:rFonts w:cs="Calibri"/>
        </w:rPr>
        <w:t>from</w:t>
      </w:r>
      <w:r>
        <w:rPr>
          <w:rFonts w:cs="Calibri"/>
        </w:rPr>
        <w:t xml:space="preserve"> several sources, including</w:t>
      </w:r>
      <w:r w:rsidRPr="002E57B1">
        <w:rPr>
          <w:rFonts w:cs="Calibri"/>
        </w:rPr>
        <w:t>:</w:t>
      </w:r>
    </w:p>
    <w:p w14:paraId="032F5828" w14:textId="5701145E" w:rsidR="00B30EAA" w:rsidRPr="00D927BF" w:rsidRDefault="00B30EAA" w:rsidP="007D3E32">
      <w:pPr>
        <w:numPr>
          <w:ilvl w:val="0"/>
          <w:numId w:val="31"/>
        </w:numPr>
        <w:spacing w:line="276" w:lineRule="auto"/>
        <w:jc w:val="both"/>
        <w:rPr>
          <w:rFonts w:cs="Calibri"/>
        </w:rPr>
      </w:pPr>
      <w:r>
        <w:rPr>
          <w:rFonts w:cs="Calibri"/>
        </w:rPr>
        <w:t>Investment expenditure, both per home and in total, under</w:t>
      </w:r>
      <w:r w:rsidRPr="00D927BF">
        <w:rPr>
          <w:rFonts w:cs="Calibri"/>
        </w:rPr>
        <w:t xml:space="preserve"> the</w:t>
      </w:r>
      <w:r>
        <w:rPr>
          <w:rFonts w:cs="Calibri"/>
        </w:rPr>
        <w:t xml:space="preserve"> </w:t>
      </w:r>
      <w:r w:rsidRPr="00677421">
        <w:rPr>
          <w:rFonts w:cs="Calibri"/>
        </w:rPr>
        <w:t>Shared Ownership and Affordable Homes Programme</w:t>
      </w:r>
      <w:r>
        <w:rPr>
          <w:rFonts w:cs="Calibri"/>
        </w:rPr>
        <w:t xml:space="preserve"> (SOAHP)</w:t>
      </w:r>
      <w:r w:rsidR="007D3E32">
        <w:rPr>
          <w:rFonts w:cs="Calibri"/>
        </w:rPr>
        <w:t>,</w:t>
      </w:r>
      <w:r w:rsidR="007D3E32">
        <w:rPr>
          <w:rStyle w:val="FootnoteReference"/>
          <w:rFonts w:cs="Calibri"/>
        </w:rPr>
        <w:footnoteReference w:id="5"/>
      </w:r>
      <w:r>
        <w:rPr>
          <w:rFonts w:cs="Calibri"/>
        </w:rPr>
        <w:t xml:space="preserve"> the Affordable Homes Programmes (AHPs)</w:t>
      </w:r>
      <w:r w:rsidR="007D3E32" w:rsidRPr="00D927BF">
        <w:rPr>
          <w:rStyle w:val="FootnoteReference"/>
        </w:rPr>
        <w:footnoteReference w:id="6"/>
      </w:r>
      <w:r>
        <w:rPr>
          <w:rFonts w:cs="Calibri"/>
        </w:rPr>
        <w:t xml:space="preserve"> and the </w:t>
      </w:r>
      <w:r w:rsidRPr="00D927BF">
        <w:rPr>
          <w:rFonts w:cs="Calibri"/>
        </w:rPr>
        <w:t>National Affordable Housing Programme (NAHP)</w:t>
      </w:r>
      <w:r>
        <w:rPr>
          <w:rFonts w:cs="Calibri"/>
        </w:rPr>
        <w:t>,</w:t>
      </w:r>
      <w:r w:rsidR="007D3E32" w:rsidRPr="00D927BF">
        <w:rPr>
          <w:rStyle w:val="FootnoteReference"/>
        </w:rPr>
        <w:footnoteReference w:id="7"/>
      </w:r>
      <w:r>
        <w:rPr>
          <w:rFonts w:cs="Calibri"/>
        </w:rPr>
        <w:t xml:space="preserve"> provided by NHF through the HCA, but also based on data from </w:t>
      </w:r>
      <w:r w:rsidRPr="00D927BF">
        <w:rPr>
          <w:rFonts w:cs="Calibri"/>
        </w:rPr>
        <w:t>National Audit Office (NAO); and</w:t>
      </w:r>
    </w:p>
    <w:p w14:paraId="4A55B758" w14:textId="77777777" w:rsidR="00B30EAA" w:rsidRPr="002E57B1" w:rsidRDefault="00B30EAA" w:rsidP="007D3E32">
      <w:pPr>
        <w:numPr>
          <w:ilvl w:val="0"/>
          <w:numId w:val="31"/>
        </w:numPr>
        <w:spacing w:line="276" w:lineRule="auto"/>
        <w:jc w:val="both"/>
        <w:rPr>
          <w:rFonts w:cs="Calibri"/>
        </w:rPr>
      </w:pPr>
      <w:r>
        <w:rPr>
          <w:rFonts w:cs="Calibri"/>
        </w:rPr>
        <w:t>Data provided by NHF housing association members regarding the breakdown of expenditure for numerous affordable housing investment projects under the NAHP.</w:t>
      </w:r>
    </w:p>
    <w:p w14:paraId="55678961" w14:textId="77777777" w:rsidR="00B30EAA" w:rsidRDefault="00B30EAA" w:rsidP="007D3E32">
      <w:pPr>
        <w:spacing w:line="276" w:lineRule="auto"/>
        <w:jc w:val="both"/>
        <w:rPr>
          <w:rFonts w:cs="Calibri"/>
        </w:rPr>
      </w:pPr>
      <w:r>
        <w:rPr>
          <w:rFonts w:cs="Calibri"/>
        </w:rPr>
        <w:t xml:space="preserve">Unlike in the case of housing associations, where the direct economic impact of their day-to-day activities comes through the housing associations themselves, in the case of investment expenditure, the direct economic impact is felt through the industries that benefit from the investment expenditures made by the housing associations. These are commonly referred to as the ‘beneficiary’ industries – those that supply the capital inputs required to build new affordable homes. By establishing the share of output of these industries that is due to investment in affordable homes, we had the starting point for </w:t>
      </w:r>
      <w:r w:rsidRPr="002E57B1">
        <w:rPr>
          <w:rFonts w:cs="Calibri"/>
        </w:rPr>
        <w:t xml:space="preserve">embedding </w:t>
      </w:r>
      <w:r>
        <w:rPr>
          <w:rFonts w:cs="Calibri"/>
        </w:rPr>
        <w:t xml:space="preserve">the activities stimulated by this investment </w:t>
      </w:r>
      <w:r w:rsidRPr="002E57B1">
        <w:rPr>
          <w:rFonts w:cs="Calibri"/>
        </w:rPr>
        <w:t xml:space="preserve">within the </w:t>
      </w:r>
      <w:r>
        <w:rPr>
          <w:rFonts w:cs="Calibri"/>
        </w:rPr>
        <w:t xml:space="preserve">same supply-use and input-output modelling </w:t>
      </w:r>
      <w:r w:rsidRPr="002E57B1">
        <w:rPr>
          <w:rFonts w:cs="Calibri"/>
        </w:rPr>
        <w:t>framework</w:t>
      </w:r>
      <w:r>
        <w:rPr>
          <w:rFonts w:cs="Calibri"/>
        </w:rPr>
        <w:t xml:space="preserve">. </w:t>
      </w:r>
    </w:p>
    <w:p w14:paraId="000E39FD" w14:textId="273BB326" w:rsidR="00B30EAA" w:rsidRDefault="00B30EAA" w:rsidP="007D3E32">
      <w:pPr>
        <w:spacing w:line="276" w:lineRule="auto"/>
        <w:jc w:val="both"/>
        <w:rPr>
          <w:rFonts w:cs="Calibri"/>
        </w:rPr>
      </w:pPr>
      <w:r w:rsidRPr="00F87A6A">
        <w:rPr>
          <w:rFonts w:cs="Calibri"/>
        </w:rPr>
        <w:t xml:space="preserve">The </w:t>
      </w:r>
      <w:proofErr w:type="gramStart"/>
      <w:r w:rsidRPr="00F87A6A">
        <w:rPr>
          <w:rFonts w:cs="Calibri"/>
        </w:rPr>
        <w:t>aforementioned</w:t>
      </w:r>
      <w:r w:rsidRPr="002E57B1">
        <w:rPr>
          <w:rFonts w:cs="Calibri"/>
        </w:rPr>
        <w:t xml:space="preserve"> data</w:t>
      </w:r>
      <w:proofErr w:type="gramEnd"/>
      <w:r w:rsidRPr="002E57B1">
        <w:rPr>
          <w:rFonts w:cs="Calibri"/>
        </w:rPr>
        <w:t xml:space="preserve"> sources suggest that the total </w:t>
      </w:r>
      <w:r>
        <w:rPr>
          <w:rFonts w:cs="Calibri"/>
        </w:rPr>
        <w:t>expenditure on</w:t>
      </w:r>
      <w:r w:rsidRPr="002E57B1">
        <w:rPr>
          <w:rFonts w:cs="Calibri"/>
        </w:rPr>
        <w:t xml:space="preserve"> </w:t>
      </w:r>
      <w:r>
        <w:rPr>
          <w:rFonts w:cs="Calibri"/>
        </w:rPr>
        <w:t xml:space="preserve">affordable housing investment under the current 2016-2021 SOAHP is </w:t>
      </w:r>
      <w:r w:rsidRPr="002E57B1">
        <w:rPr>
          <w:rFonts w:cs="Calibri"/>
        </w:rPr>
        <w:t xml:space="preserve">as presented in </w:t>
      </w:r>
      <w:r>
        <w:rPr>
          <w:rFonts w:cs="Calibri"/>
        </w:rPr>
        <w:fldChar w:fldCharType="begin"/>
      </w:r>
      <w:r>
        <w:rPr>
          <w:rFonts w:cs="Calibri"/>
        </w:rPr>
        <w:instrText xml:space="preserve"> REF _Ref479287752 \h  \* MERGEFORMAT </w:instrText>
      </w:r>
      <w:r>
        <w:rPr>
          <w:rFonts w:cs="Calibri"/>
        </w:rPr>
      </w:r>
      <w:r>
        <w:rPr>
          <w:rFonts w:cs="Calibri"/>
        </w:rPr>
        <w:fldChar w:fldCharType="separate"/>
      </w:r>
      <w:r w:rsidRPr="00B30EAA">
        <w:rPr>
          <w:rFonts w:cs="Calibri"/>
        </w:rPr>
        <w:t>Table 3</w:t>
      </w:r>
      <w:r>
        <w:rPr>
          <w:rFonts w:cs="Calibri"/>
        </w:rPr>
        <w:fldChar w:fldCharType="end"/>
      </w:r>
      <w:r>
        <w:rPr>
          <w:rFonts w:cs="Calibri"/>
        </w:rPr>
        <w:t xml:space="preserve"> </w:t>
      </w:r>
      <w:r w:rsidRPr="002E57B1">
        <w:rPr>
          <w:rFonts w:cs="Calibri"/>
        </w:rPr>
        <w:t xml:space="preserve">below. </w:t>
      </w:r>
      <w:r>
        <w:rPr>
          <w:rFonts w:cs="Calibri"/>
        </w:rPr>
        <w:t xml:space="preserve">This includes an average measure of total scheme cost per home delivered. </w:t>
      </w:r>
      <w:r w:rsidRPr="002E57B1">
        <w:rPr>
          <w:rFonts w:cs="Calibri"/>
        </w:rPr>
        <w:t xml:space="preserve"> </w:t>
      </w:r>
    </w:p>
    <w:p w14:paraId="3CD35A07" w14:textId="77777777" w:rsidR="00B30EAA" w:rsidRDefault="00B30EAA" w:rsidP="007D3E32">
      <w:pPr>
        <w:spacing w:line="276" w:lineRule="auto"/>
        <w:jc w:val="both"/>
        <w:rPr>
          <w:rFonts w:cs="Calibri"/>
        </w:rPr>
      </w:pPr>
      <w:r>
        <w:rPr>
          <w:rFonts w:cs="Calibri"/>
        </w:rPr>
        <w:t xml:space="preserve">This TSC per home measure is an important input underlying this part of the LEIC. Along with the number of homes involved in the scheme, as inputted by users of the LEIC, the TSC per home measure provides the starting point for determining the economic impacts of any new affordable housing investments. </w:t>
      </w:r>
    </w:p>
    <w:p w14:paraId="1331A473" w14:textId="77777777" w:rsidR="00B30EAA" w:rsidRDefault="00B30EAA" w:rsidP="00B30EAA">
      <w:pPr>
        <w:spacing w:before="240" w:after="120"/>
        <w:rPr>
          <w:rFonts w:cs="Calibri"/>
        </w:rPr>
      </w:pPr>
    </w:p>
    <w:p w14:paraId="727E9216" w14:textId="7CE2E4B9" w:rsidR="00B30EAA" w:rsidRDefault="00B30EAA" w:rsidP="00B30EAA">
      <w:pPr>
        <w:pStyle w:val="Caption"/>
        <w:keepNext/>
        <w:keepLines/>
      </w:pPr>
      <w:bookmarkStart w:id="21" w:name="_Ref479287752"/>
      <w:bookmarkStart w:id="22" w:name="_Ref479287747"/>
      <w:r w:rsidRPr="007C2FB8">
        <w:t xml:space="preserve">Table </w:t>
      </w:r>
      <w:r w:rsidR="00C2476A" w:rsidRPr="007C2FB8">
        <w:fldChar w:fldCharType="begin"/>
      </w:r>
      <w:r w:rsidR="00C2476A" w:rsidRPr="007C2FB8">
        <w:instrText xml:space="preserve"> SEQ Table \* ARABIC </w:instrText>
      </w:r>
      <w:r w:rsidR="00C2476A" w:rsidRPr="007C2FB8">
        <w:fldChar w:fldCharType="separate"/>
      </w:r>
      <w:r w:rsidR="00142F7F" w:rsidRPr="007C2FB8">
        <w:rPr>
          <w:noProof/>
        </w:rPr>
        <w:t>3</w:t>
      </w:r>
      <w:r w:rsidR="00C2476A" w:rsidRPr="007C2FB8">
        <w:rPr>
          <w:noProof/>
        </w:rPr>
        <w:fldChar w:fldCharType="end"/>
      </w:r>
      <w:bookmarkEnd w:id="21"/>
      <w:r w:rsidRPr="007C2FB8">
        <w:t>:</w:t>
      </w:r>
      <w:bookmarkEnd w:id="22"/>
      <w:r w:rsidRPr="007C2FB8">
        <w:t xml:space="preserve"> 2016-21 SOAHP total scheme costs (TSC) by</w:t>
      </w:r>
      <w:r w:rsidR="007C2FB8" w:rsidRPr="007C2FB8">
        <w:t xml:space="preserve"> region</w:t>
      </w:r>
      <w:r w:rsidRPr="007C2FB8">
        <w:t xml:space="preserve"> (</w:t>
      </w:r>
      <w:r w:rsidR="007C2FB8" w:rsidRPr="007C2FB8">
        <w:t>end of March 2021</w:t>
      </w:r>
      <w:r w:rsidRPr="007C2FB8">
        <w:t>)</w:t>
      </w:r>
      <w:r w:rsidR="005A7EA7" w:rsidRPr="007C2FB8">
        <w:rPr>
          <w:rStyle w:val="FootnoteReference"/>
        </w:rPr>
        <w:footnoteReference w:id="8"/>
      </w:r>
    </w:p>
    <w:tbl>
      <w:tblPr>
        <w:tblW w:w="8642" w:type="dxa"/>
        <w:tblInd w:w="453" w:type="dxa"/>
        <w:tblLook w:val="04A0" w:firstRow="1" w:lastRow="0" w:firstColumn="1" w:lastColumn="0" w:noHBand="0" w:noVBand="1"/>
      </w:tblPr>
      <w:tblGrid>
        <w:gridCol w:w="3751"/>
        <w:gridCol w:w="1936"/>
        <w:gridCol w:w="1284"/>
        <w:gridCol w:w="1671"/>
      </w:tblGrid>
      <w:tr w:rsidR="00C9259E" w:rsidRPr="00ED4293" w14:paraId="696B5D8B" w14:textId="77777777" w:rsidTr="00C9259E">
        <w:trPr>
          <w:trHeight w:val="336"/>
        </w:trPr>
        <w:tc>
          <w:tcPr>
            <w:tcW w:w="3751" w:type="dxa"/>
            <w:tcBorders>
              <w:top w:val="single" w:sz="8" w:space="0" w:color="auto"/>
              <w:left w:val="single" w:sz="8" w:space="0" w:color="auto"/>
              <w:bottom w:val="single" w:sz="8" w:space="0" w:color="auto"/>
              <w:right w:val="single" w:sz="8" w:space="0" w:color="auto"/>
            </w:tcBorders>
            <w:shd w:val="clear" w:color="000000" w:fill="008C9B"/>
            <w:vAlign w:val="center"/>
            <w:hideMark/>
          </w:tcPr>
          <w:p w14:paraId="7CB74CAD" w14:textId="374E239E" w:rsidR="00C9259E" w:rsidRPr="00C9259E" w:rsidRDefault="00C9259E" w:rsidP="00C9259E">
            <w:pPr>
              <w:keepNext/>
              <w:keepLines/>
              <w:spacing w:after="0"/>
              <w:rPr>
                <w:rFonts w:eastAsia="Times New Roman"/>
                <w:b/>
                <w:bCs/>
                <w:color w:val="FFFFFF" w:themeColor="background1"/>
                <w:sz w:val="20"/>
                <w:szCs w:val="18"/>
                <w:lang w:eastAsia="en-GB"/>
              </w:rPr>
            </w:pPr>
            <w:r w:rsidRPr="00C9259E">
              <w:rPr>
                <w:b/>
                <w:bCs/>
                <w:color w:val="FFFFFF" w:themeColor="background1"/>
                <w:sz w:val="20"/>
                <w:szCs w:val="18"/>
              </w:rPr>
              <w:t>Region</w:t>
            </w:r>
          </w:p>
        </w:tc>
        <w:tc>
          <w:tcPr>
            <w:tcW w:w="1936" w:type="dxa"/>
            <w:tcBorders>
              <w:top w:val="single" w:sz="8" w:space="0" w:color="auto"/>
              <w:left w:val="nil"/>
              <w:bottom w:val="single" w:sz="8" w:space="0" w:color="auto"/>
              <w:right w:val="single" w:sz="8" w:space="0" w:color="auto"/>
            </w:tcBorders>
            <w:shd w:val="clear" w:color="000000" w:fill="008C9B"/>
            <w:vAlign w:val="center"/>
            <w:hideMark/>
          </w:tcPr>
          <w:p w14:paraId="1F057E43" w14:textId="1B6D6928" w:rsidR="00C9259E" w:rsidRPr="00C9259E" w:rsidRDefault="00C9259E" w:rsidP="00C9259E">
            <w:pPr>
              <w:keepNext/>
              <w:keepLines/>
              <w:spacing w:after="0"/>
              <w:jc w:val="center"/>
              <w:rPr>
                <w:rFonts w:asciiTheme="minorHAnsi" w:eastAsia="Times New Roman" w:hAnsiTheme="minorHAnsi" w:cstheme="minorHAnsi"/>
                <w:b/>
                <w:bCs/>
                <w:color w:val="FFFFFF" w:themeColor="background1"/>
                <w:sz w:val="20"/>
                <w:szCs w:val="18"/>
                <w:lang w:eastAsia="en-GB"/>
              </w:rPr>
            </w:pPr>
            <w:r w:rsidRPr="00C9259E">
              <w:rPr>
                <w:b/>
                <w:bCs/>
                <w:color w:val="FFFFFF" w:themeColor="background1"/>
                <w:sz w:val="20"/>
                <w:szCs w:val="18"/>
              </w:rPr>
              <w:t>TSC (£)</w:t>
            </w:r>
          </w:p>
        </w:tc>
        <w:tc>
          <w:tcPr>
            <w:tcW w:w="1284" w:type="dxa"/>
            <w:tcBorders>
              <w:top w:val="single" w:sz="8" w:space="0" w:color="auto"/>
              <w:left w:val="nil"/>
              <w:bottom w:val="single" w:sz="8" w:space="0" w:color="auto"/>
              <w:right w:val="single" w:sz="8" w:space="0" w:color="auto"/>
            </w:tcBorders>
            <w:shd w:val="clear" w:color="000000" w:fill="008C9B"/>
            <w:vAlign w:val="center"/>
            <w:hideMark/>
          </w:tcPr>
          <w:p w14:paraId="30C99C18" w14:textId="5DFDD5E8" w:rsidR="00C9259E" w:rsidRPr="00C9259E" w:rsidRDefault="00C9259E" w:rsidP="00C9259E">
            <w:pPr>
              <w:keepNext/>
              <w:keepLines/>
              <w:spacing w:after="0"/>
              <w:jc w:val="center"/>
              <w:rPr>
                <w:rFonts w:asciiTheme="minorHAnsi" w:eastAsia="Times New Roman" w:hAnsiTheme="minorHAnsi" w:cstheme="minorHAnsi"/>
                <w:b/>
                <w:bCs/>
                <w:color w:val="FFFFFF" w:themeColor="background1"/>
                <w:sz w:val="20"/>
                <w:szCs w:val="18"/>
                <w:lang w:eastAsia="en-GB"/>
              </w:rPr>
            </w:pPr>
            <w:r w:rsidRPr="00C9259E">
              <w:rPr>
                <w:b/>
                <w:bCs/>
                <w:color w:val="FFFFFF" w:themeColor="background1"/>
                <w:sz w:val="20"/>
                <w:szCs w:val="18"/>
              </w:rPr>
              <w:t>Homes</w:t>
            </w:r>
          </w:p>
        </w:tc>
        <w:tc>
          <w:tcPr>
            <w:tcW w:w="1671" w:type="dxa"/>
            <w:tcBorders>
              <w:top w:val="single" w:sz="8" w:space="0" w:color="auto"/>
              <w:left w:val="nil"/>
              <w:bottom w:val="single" w:sz="8" w:space="0" w:color="auto"/>
              <w:right w:val="single" w:sz="8" w:space="0" w:color="auto"/>
            </w:tcBorders>
            <w:shd w:val="clear" w:color="000000" w:fill="008C9B"/>
            <w:vAlign w:val="center"/>
            <w:hideMark/>
          </w:tcPr>
          <w:p w14:paraId="417610B2" w14:textId="2AE0741E" w:rsidR="00C9259E" w:rsidRPr="00C9259E" w:rsidRDefault="00C9259E" w:rsidP="00C9259E">
            <w:pPr>
              <w:keepNext/>
              <w:keepLines/>
              <w:spacing w:after="0"/>
              <w:jc w:val="center"/>
              <w:rPr>
                <w:rFonts w:asciiTheme="minorHAnsi" w:eastAsia="Times New Roman" w:hAnsiTheme="minorHAnsi" w:cstheme="minorHAnsi"/>
                <w:b/>
                <w:bCs/>
                <w:color w:val="FFFFFF" w:themeColor="background1"/>
                <w:sz w:val="20"/>
                <w:szCs w:val="18"/>
                <w:lang w:eastAsia="en-GB"/>
              </w:rPr>
            </w:pPr>
            <w:r w:rsidRPr="00C9259E">
              <w:rPr>
                <w:b/>
                <w:bCs/>
                <w:color w:val="FFFFFF" w:themeColor="background1"/>
                <w:sz w:val="20"/>
                <w:szCs w:val="18"/>
              </w:rPr>
              <w:t>TSC per home (£)</w:t>
            </w:r>
          </w:p>
        </w:tc>
      </w:tr>
      <w:tr w:rsidR="00C9259E" w:rsidRPr="00ED4293" w14:paraId="6B7C57A2" w14:textId="77777777" w:rsidTr="00C9259E">
        <w:trPr>
          <w:trHeight w:val="320"/>
        </w:trPr>
        <w:tc>
          <w:tcPr>
            <w:tcW w:w="3751" w:type="dxa"/>
            <w:tcBorders>
              <w:top w:val="nil"/>
              <w:left w:val="single" w:sz="8" w:space="0" w:color="auto"/>
              <w:bottom w:val="nil"/>
              <w:right w:val="single" w:sz="8" w:space="0" w:color="auto"/>
            </w:tcBorders>
            <w:shd w:val="clear" w:color="auto" w:fill="auto"/>
            <w:vAlign w:val="center"/>
            <w:hideMark/>
          </w:tcPr>
          <w:p w14:paraId="56F09861" w14:textId="6A8B6833" w:rsidR="00C9259E" w:rsidRPr="00C9259E" w:rsidRDefault="00C9259E" w:rsidP="00C9259E">
            <w:pPr>
              <w:keepNext/>
              <w:keepLines/>
              <w:spacing w:after="0"/>
              <w:rPr>
                <w:rFonts w:asciiTheme="minorHAnsi" w:eastAsia="Times New Roman" w:hAnsiTheme="minorHAnsi" w:cstheme="minorHAnsi"/>
                <w:color w:val="auto"/>
                <w:sz w:val="20"/>
                <w:szCs w:val="18"/>
                <w:lang w:eastAsia="en-GB"/>
              </w:rPr>
            </w:pPr>
            <w:r w:rsidRPr="00C9259E">
              <w:rPr>
                <w:color w:val="auto"/>
                <w:sz w:val="20"/>
                <w:szCs w:val="18"/>
              </w:rPr>
              <w:t>East Midlands</w:t>
            </w:r>
          </w:p>
        </w:tc>
        <w:tc>
          <w:tcPr>
            <w:tcW w:w="1936" w:type="dxa"/>
            <w:tcBorders>
              <w:top w:val="nil"/>
              <w:left w:val="nil"/>
              <w:bottom w:val="nil"/>
              <w:right w:val="single" w:sz="8" w:space="0" w:color="auto"/>
            </w:tcBorders>
            <w:shd w:val="clear" w:color="auto" w:fill="auto"/>
            <w:vAlign w:val="center"/>
            <w:hideMark/>
          </w:tcPr>
          <w:p w14:paraId="671296E1" w14:textId="29C7BB71" w:rsidR="00C9259E" w:rsidRPr="00C9259E" w:rsidRDefault="00C9259E" w:rsidP="00C9259E">
            <w:pPr>
              <w:keepNext/>
              <w:keepLines/>
              <w:spacing w:after="0"/>
              <w:jc w:val="center"/>
              <w:rPr>
                <w:rFonts w:asciiTheme="minorHAnsi" w:eastAsia="Times New Roman" w:hAnsiTheme="minorHAnsi" w:cstheme="minorHAnsi"/>
                <w:color w:val="auto"/>
                <w:sz w:val="20"/>
                <w:szCs w:val="18"/>
                <w:lang w:eastAsia="en-GB"/>
              </w:rPr>
            </w:pPr>
            <w:r w:rsidRPr="00C9259E">
              <w:rPr>
                <w:color w:val="auto"/>
                <w:sz w:val="20"/>
                <w:szCs w:val="18"/>
              </w:rPr>
              <w:t>£1,110,766,264</w:t>
            </w:r>
          </w:p>
        </w:tc>
        <w:tc>
          <w:tcPr>
            <w:tcW w:w="1284" w:type="dxa"/>
            <w:tcBorders>
              <w:top w:val="nil"/>
              <w:left w:val="nil"/>
              <w:bottom w:val="nil"/>
              <w:right w:val="single" w:sz="8" w:space="0" w:color="auto"/>
            </w:tcBorders>
            <w:shd w:val="clear" w:color="auto" w:fill="auto"/>
            <w:vAlign w:val="center"/>
            <w:hideMark/>
          </w:tcPr>
          <w:p w14:paraId="4F33272E" w14:textId="233F004E" w:rsidR="00C9259E" w:rsidRPr="00C9259E" w:rsidRDefault="00C9259E" w:rsidP="00C9259E">
            <w:pPr>
              <w:keepNext/>
              <w:keepLines/>
              <w:spacing w:after="0"/>
              <w:jc w:val="center"/>
              <w:rPr>
                <w:rFonts w:asciiTheme="minorHAnsi" w:eastAsia="Times New Roman" w:hAnsiTheme="minorHAnsi" w:cstheme="minorHAnsi"/>
                <w:color w:val="auto"/>
                <w:sz w:val="20"/>
                <w:szCs w:val="18"/>
                <w:lang w:eastAsia="en-GB"/>
              </w:rPr>
            </w:pPr>
            <w:r w:rsidRPr="00C9259E">
              <w:rPr>
                <w:color w:val="auto"/>
                <w:sz w:val="20"/>
                <w:szCs w:val="18"/>
              </w:rPr>
              <w:t>7,859</w:t>
            </w:r>
          </w:p>
        </w:tc>
        <w:tc>
          <w:tcPr>
            <w:tcW w:w="1671" w:type="dxa"/>
            <w:tcBorders>
              <w:top w:val="nil"/>
              <w:left w:val="nil"/>
              <w:bottom w:val="nil"/>
              <w:right w:val="single" w:sz="8" w:space="0" w:color="auto"/>
            </w:tcBorders>
            <w:shd w:val="clear" w:color="auto" w:fill="auto"/>
            <w:vAlign w:val="center"/>
            <w:hideMark/>
          </w:tcPr>
          <w:p w14:paraId="7872E9B2" w14:textId="42DA6118" w:rsidR="00C9259E" w:rsidRPr="00C9259E" w:rsidRDefault="00C9259E" w:rsidP="00C9259E">
            <w:pPr>
              <w:keepNext/>
              <w:keepLines/>
              <w:spacing w:after="0"/>
              <w:jc w:val="center"/>
              <w:rPr>
                <w:rFonts w:asciiTheme="minorHAnsi" w:eastAsia="Times New Roman" w:hAnsiTheme="minorHAnsi" w:cstheme="minorHAnsi"/>
                <w:color w:val="auto"/>
                <w:sz w:val="20"/>
                <w:szCs w:val="18"/>
                <w:lang w:eastAsia="en-GB"/>
              </w:rPr>
            </w:pPr>
            <w:r w:rsidRPr="00C9259E">
              <w:rPr>
                <w:color w:val="auto"/>
                <w:sz w:val="20"/>
                <w:szCs w:val="18"/>
              </w:rPr>
              <w:t>£141,337</w:t>
            </w:r>
          </w:p>
        </w:tc>
      </w:tr>
      <w:tr w:rsidR="00C9259E" w:rsidRPr="00ED4293" w14:paraId="78853799" w14:textId="77777777" w:rsidTr="00C9259E">
        <w:trPr>
          <w:trHeight w:val="320"/>
        </w:trPr>
        <w:tc>
          <w:tcPr>
            <w:tcW w:w="3751" w:type="dxa"/>
            <w:tcBorders>
              <w:top w:val="nil"/>
              <w:left w:val="single" w:sz="8" w:space="0" w:color="auto"/>
              <w:bottom w:val="nil"/>
              <w:right w:val="single" w:sz="8" w:space="0" w:color="auto"/>
            </w:tcBorders>
            <w:shd w:val="clear" w:color="auto" w:fill="auto"/>
            <w:vAlign w:val="center"/>
            <w:hideMark/>
          </w:tcPr>
          <w:p w14:paraId="1C3AD95D" w14:textId="779F0CAB" w:rsidR="00C9259E" w:rsidRPr="00C9259E" w:rsidRDefault="00C9259E" w:rsidP="00C9259E">
            <w:pPr>
              <w:keepNext/>
              <w:keepLines/>
              <w:spacing w:after="0"/>
              <w:rPr>
                <w:rFonts w:asciiTheme="minorHAnsi" w:eastAsia="Times New Roman" w:hAnsiTheme="minorHAnsi" w:cstheme="minorHAnsi"/>
                <w:color w:val="auto"/>
                <w:sz w:val="20"/>
                <w:szCs w:val="18"/>
                <w:lang w:eastAsia="en-GB"/>
              </w:rPr>
            </w:pPr>
            <w:r w:rsidRPr="00C9259E">
              <w:rPr>
                <w:color w:val="auto"/>
                <w:sz w:val="20"/>
                <w:szCs w:val="18"/>
              </w:rPr>
              <w:t>East of England</w:t>
            </w:r>
          </w:p>
        </w:tc>
        <w:tc>
          <w:tcPr>
            <w:tcW w:w="1936" w:type="dxa"/>
            <w:tcBorders>
              <w:top w:val="nil"/>
              <w:left w:val="nil"/>
              <w:bottom w:val="nil"/>
              <w:right w:val="single" w:sz="8" w:space="0" w:color="auto"/>
            </w:tcBorders>
            <w:shd w:val="clear" w:color="auto" w:fill="auto"/>
            <w:vAlign w:val="center"/>
            <w:hideMark/>
          </w:tcPr>
          <w:p w14:paraId="18B193D6" w14:textId="7FE2CACB" w:rsidR="00C9259E" w:rsidRPr="00C9259E" w:rsidRDefault="00C9259E" w:rsidP="00C9259E">
            <w:pPr>
              <w:keepNext/>
              <w:keepLines/>
              <w:spacing w:after="0"/>
              <w:jc w:val="center"/>
              <w:rPr>
                <w:rFonts w:asciiTheme="minorHAnsi" w:eastAsia="Times New Roman" w:hAnsiTheme="minorHAnsi" w:cstheme="minorHAnsi"/>
                <w:color w:val="auto"/>
                <w:sz w:val="20"/>
                <w:szCs w:val="18"/>
                <w:lang w:eastAsia="en-GB"/>
              </w:rPr>
            </w:pPr>
            <w:r w:rsidRPr="00C9259E">
              <w:rPr>
                <w:color w:val="auto"/>
                <w:sz w:val="20"/>
                <w:szCs w:val="18"/>
              </w:rPr>
              <w:t>£3,230,333,711</w:t>
            </w:r>
          </w:p>
        </w:tc>
        <w:tc>
          <w:tcPr>
            <w:tcW w:w="1284" w:type="dxa"/>
            <w:tcBorders>
              <w:top w:val="nil"/>
              <w:left w:val="nil"/>
              <w:bottom w:val="nil"/>
              <w:right w:val="single" w:sz="8" w:space="0" w:color="auto"/>
            </w:tcBorders>
            <w:shd w:val="clear" w:color="auto" w:fill="auto"/>
            <w:vAlign w:val="center"/>
            <w:hideMark/>
          </w:tcPr>
          <w:p w14:paraId="6F81446B" w14:textId="77B2F020" w:rsidR="00C9259E" w:rsidRPr="00C9259E" w:rsidRDefault="00C9259E" w:rsidP="00C9259E">
            <w:pPr>
              <w:keepNext/>
              <w:keepLines/>
              <w:spacing w:after="0"/>
              <w:jc w:val="center"/>
              <w:rPr>
                <w:rFonts w:asciiTheme="minorHAnsi" w:eastAsia="Times New Roman" w:hAnsiTheme="minorHAnsi" w:cstheme="minorHAnsi"/>
                <w:color w:val="auto"/>
                <w:sz w:val="20"/>
                <w:szCs w:val="18"/>
                <w:lang w:eastAsia="en-GB"/>
              </w:rPr>
            </w:pPr>
            <w:r w:rsidRPr="00C9259E">
              <w:rPr>
                <w:color w:val="auto"/>
                <w:sz w:val="20"/>
                <w:szCs w:val="18"/>
              </w:rPr>
              <w:t>17,447</w:t>
            </w:r>
          </w:p>
        </w:tc>
        <w:tc>
          <w:tcPr>
            <w:tcW w:w="1671" w:type="dxa"/>
            <w:tcBorders>
              <w:top w:val="nil"/>
              <w:left w:val="nil"/>
              <w:bottom w:val="nil"/>
              <w:right w:val="single" w:sz="8" w:space="0" w:color="auto"/>
            </w:tcBorders>
            <w:shd w:val="clear" w:color="auto" w:fill="auto"/>
            <w:vAlign w:val="center"/>
            <w:hideMark/>
          </w:tcPr>
          <w:p w14:paraId="4D2AA83E" w14:textId="3A5172E6" w:rsidR="00C9259E" w:rsidRPr="00C9259E" w:rsidRDefault="00C9259E" w:rsidP="00C9259E">
            <w:pPr>
              <w:keepNext/>
              <w:keepLines/>
              <w:spacing w:after="0"/>
              <w:jc w:val="center"/>
              <w:rPr>
                <w:rFonts w:asciiTheme="minorHAnsi" w:eastAsia="Times New Roman" w:hAnsiTheme="minorHAnsi" w:cstheme="minorHAnsi"/>
                <w:color w:val="auto"/>
                <w:sz w:val="20"/>
                <w:szCs w:val="18"/>
                <w:lang w:eastAsia="en-GB"/>
              </w:rPr>
            </w:pPr>
            <w:r w:rsidRPr="00C9259E">
              <w:rPr>
                <w:color w:val="auto"/>
                <w:sz w:val="20"/>
                <w:szCs w:val="18"/>
              </w:rPr>
              <w:t>£185,151</w:t>
            </w:r>
          </w:p>
        </w:tc>
      </w:tr>
      <w:tr w:rsidR="00C9259E" w:rsidRPr="00ED4293" w14:paraId="6D5B8711" w14:textId="77777777" w:rsidTr="00C9259E">
        <w:trPr>
          <w:trHeight w:val="320"/>
        </w:trPr>
        <w:tc>
          <w:tcPr>
            <w:tcW w:w="3751" w:type="dxa"/>
            <w:tcBorders>
              <w:top w:val="nil"/>
              <w:left w:val="single" w:sz="8" w:space="0" w:color="auto"/>
              <w:bottom w:val="nil"/>
              <w:right w:val="single" w:sz="8" w:space="0" w:color="auto"/>
            </w:tcBorders>
            <w:shd w:val="clear" w:color="auto" w:fill="auto"/>
            <w:vAlign w:val="center"/>
            <w:hideMark/>
          </w:tcPr>
          <w:p w14:paraId="29B2EA0F" w14:textId="7B96F60A" w:rsidR="00C9259E" w:rsidRPr="00C9259E" w:rsidRDefault="00C9259E" w:rsidP="00C9259E">
            <w:pPr>
              <w:keepNext/>
              <w:keepLines/>
              <w:spacing w:after="0"/>
              <w:rPr>
                <w:rFonts w:asciiTheme="minorHAnsi" w:eastAsia="Times New Roman" w:hAnsiTheme="minorHAnsi" w:cstheme="minorHAnsi"/>
                <w:color w:val="auto"/>
                <w:sz w:val="20"/>
                <w:szCs w:val="18"/>
                <w:lang w:eastAsia="en-GB"/>
              </w:rPr>
            </w:pPr>
            <w:proofErr w:type="gramStart"/>
            <w:r w:rsidRPr="00C9259E">
              <w:rPr>
                <w:color w:val="auto"/>
                <w:sz w:val="20"/>
                <w:szCs w:val="18"/>
              </w:rPr>
              <w:t>North East</w:t>
            </w:r>
            <w:proofErr w:type="gramEnd"/>
          </w:p>
        </w:tc>
        <w:tc>
          <w:tcPr>
            <w:tcW w:w="1936" w:type="dxa"/>
            <w:tcBorders>
              <w:top w:val="nil"/>
              <w:left w:val="nil"/>
              <w:bottom w:val="nil"/>
              <w:right w:val="single" w:sz="8" w:space="0" w:color="auto"/>
            </w:tcBorders>
            <w:shd w:val="clear" w:color="auto" w:fill="auto"/>
            <w:vAlign w:val="center"/>
            <w:hideMark/>
          </w:tcPr>
          <w:p w14:paraId="4FCA167E" w14:textId="1D001176" w:rsidR="00C9259E" w:rsidRPr="00C9259E" w:rsidRDefault="00C9259E" w:rsidP="00C9259E">
            <w:pPr>
              <w:keepNext/>
              <w:keepLines/>
              <w:spacing w:after="0"/>
              <w:jc w:val="center"/>
              <w:rPr>
                <w:rFonts w:asciiTheme="minorHAnsi" w:eastAsia="Times New Roman" w:hAnsiTheme="minorHAnsi" w:cstheme="minorHAnsi"/>
                <w:color w:val="auto"/>
                <w:sz w:val="20"/>
                <w:szCs w:val="18"/>
                <w:lang w:eastAsia="en-GB"/>
              </w:rPr>
            </w:pPr>
            <w:r w:rsidRPr="00C9259E">
              <w:rPr>
                <w:color w:val="auto"/>
                <w:sz w:val="20"/>
                <w:szCs w:val="18"/>
              </w:rPr>
              <w:t>£978,976,692</w:t>
            </w:r>
          </w:p>
        </w:tc>
        <w:tc>
          <w:tcPr>
            <w:tcW w:w="1284" w:type="dxa"/>
            <w:tcBorders>
              <w:top w:val="nil"/>
              <w:left w:val="nil"/>
              <w:bottom w:val="nil"/>
              <w:right w:val="single" w:sz="8" w:space="0" w:color="auto"/>
            </w:tcBorders>
            <w:shd w:val="clear" w:color="auto" w:fill="auto"/>
            <w:vAlign w:val="center"/>
            <w:hideMark/>
          </w:tcPr>
          <w:p w14:paraId="16CDBFD6" w14:textId="794F88DE" w:rsidR="00C9259E" w:rsidRPr="00C9259E" w:rsidRDefault="00C9259E" w:rsidP="00C9259E">
            <w:pPr>
              <w:keepNext/>
              <w:keepLines/>
              <w:spacing w:after="0"/>
              <w:jc w:val="center"/>
              <w:rPr>
                <w:rFonts w:asciiTheme="minorHAnsi" w:eastAsia="Times New Roman" w:hAnsiTheme="minorHAnsi" w:cstheme="minorHAnsi"/>
                <w:color w:val="auto"/>
                <w:sz w:val="20"/>
                <w:szCs w:val="18"/>
                <w:lang w:eastAsia="en-GB"/>
              </w:rPr>
            </w:pPr>
            <w:r w:rsidRPr="00C9259E">
              <w:rPr>
                <w:color w:val="auto"/>
                <w:sz w:val="20"/>
                <w:szCs w:val="18"/>
              </w:rPr>
              <w:t>7,329</w:t>
            </w:r>
          </w:p>
        </w:tc>
        <w:tc>
          <w:tcPr>
            <w:tcW w:w="1671" w:type="dxa"/>
            <w:tcBorders>
              <w:top w:val="nil"/>
              <w:left w:val="nil"/>
              <w:bottom w:val="nil"/>
              <w:right w:val="single" w:sz="8" w:space="0" w:color="auto"/>
            </w:tcBorders>
            <w:shd w:val="clear" w:color="auto" w:fill="auto"/>
            <w:vAlign w:val="center"/>
            <w:hideMark/>
          </w:tcPr>
          <w:p w14:paraId="6E4522F8" w14:textId="49274AC5" w:rsidR="00C9259E" w:rsidRPr="00C9259E" w:rsidRDefault="00C9259E" w:rsidP="00C9259E">
            <w:pPr>
              <w:keepNext/>
              <w:keepLines/>
              <w:spacing w:after="0"/>
              <w:jc w:val="center"/>
              <w:rPr>
                <w:rFonts w:asciiTheme="minorHAnsi" w:eastAsia="Times New Roman" w:hAnsiTheme="minorHAnsi" w:cstheme="minorHAnsi"/>
                <w:color w:val="auto"/>
                <w:sz w:val="20"/>
                <w:szCs w:val="18"/>
                <w:lang w:eastAsia="en-GB"/>
              </w:rPr>
            </w:pPr>
            <w:r w:rsidRPr="00C9259E">
              <w:rPr>
                <w:color w:val="auto"/>
                <w:sz w:val="20"/>
                <w:szCs w:val="18"/>
              </w:rPr>
              <w:t>£133,576</w:t>
            </w:r>
          </w:p>
        </w:tc>
      </w:tr>
      <w:tr w:rsidR="00C9259E" w:rsidRPr="00ED4293" w14:paraId="4A40B293" w14:textId="77777777" w:rsidTr="00C9259E">
        <w:trPr>
          <w:trHeight w:val="320"/>
        </w:trPr>
        <w:tc>
          <w:tcPr>
            <w:tcW w:w="3751" w:type="dxa"/>
            <w:tcBorders>
              <w:top w:val="nil"/>
              <w:left w:val="single" w:sz="8" w:space="0" w:color="auto"/>
              <w:bottom w:val="nil"/>
              <w:right w:val="single" w:sz="8" w:space="0" w:color="auto"/>
            </w:tcBorders>
            <w:shd w:val="clear" w:color="auto" w:fill="auto"/>
            <w:vAlign w:val="center"/>
          </w:tcPr>
          <w:p w14:paraId="2211CF26" w14:textId="6CB3F1D4" w:rsidR="00C9259E" w:rsidRPr="00C9259E" w:rsidRDefault="00C9259E" w:rsidP="00C9259E">
            <w:pPr>
              <w:keepNext/>
              <w:keepLines/>
              <w:spacing w:after="0"/>
              <w:rPr>
                <w:rFonts w:asciiTheme="minorHAnsi" w:hAnsiTheme="minorHAnsi" w:cstheme="minorHAnsi"/>
                <w:color w:val="auto"/>
                <w:sz w:val="20"/>
                <w:szCs w:val="18"/>
              </w:rPr>
            </w:pPr>
            <w:proofErr w:type="gramStart"/>
            <w:r w:rsidRPr="00C9259E">
              <w:rPr>
                <w:color w:val="auto"/>
                <w:sz w:val="20"/>
                <w:szCs w:val="18"/>
              </w:rPr>
              <w:t>North West</w:t>
            </w:r>
            <w:proofErr w:type="gramEnd"/>
          </w:p>
        </w:tc>
        <w:tc>
          <w:tcPr>
            <w:tcW w:w="1936" w:type="dxa"/>
            <w:tcBorders>
              <w:top w:val="nil"/>
              <w:left w:val="nil"/>
              <w:bottom w:val="nil"/>
              <w:right w:val="single" w:sz="8" w:space="0" w:color="auto"/>
            </w:tcBorders>
            <w:shd w:val="clear" w:color="auto" w:fill="auto"/>
            <w:vAlign w:val="center"/>
          </w:tcPr>
          <w:p w14:paraId="20449762" w14:textId="1E08DFE8" w:rsidR="00C9259E" w:rsidRPr="00C9259E" w:rsidRDefault="00C9259E" w:rsidP="00C9259E">
            <w:pPr>
              <w:keepNext/>
              <w:keepLines/>
              <w:spacing w:after="0"/>
              <w:jc w:val="center"/>
              <w:rPr>
                <w:rFonts w:asciiTheme="minorHAnsi" w:hAnsiTheme="minorHAnsi" w:cstheme="minorHAnsi"/>
                <w:color w:val="auto"/>
                <w:sz w:val="20"/>
                <w:szCs w:val="18"/>
              </w:rPr>
            </w:pPr>
            <w:r w:rsidRPr="00C9259E">
              <w:rPr>
                <w:color w:val="auto"/>
                <w:sz w:val="20"/>
                <w:szCs w:val="18"/>
              </w:rPr>
              <w:t>£2,797,849,272</w:t>
            </w:r>
          </w:p>
        </w:tc>
        <w:tc>
          <w:tcPr>
            <w:tcW w:w="1284" w:type="dxa"/>
            <w:tcBorders>
              <w:top w:val="nil"/>
              <w:left w:val="nil"/>
              <w:bottom w:val="nil"/>
              <w:right w:val="single" w:sz="8" w:space="0" w:color="auto"/>
            </w:tcBorders>
            <w:shd w:val="clear" w:color="auto" w:fill="auto"/>
            <w:vAlign w:val="center"/>
          </w:tcPr>
          <w:p w14:paraId="02705562" w14:textId="0D18EEB5" w:rsidR="00C9259E" w:rsidRPr="00C9259E" w:rsidRDefault="00C9259E" w:rsidP="00C9259E">
            <w:pPr>
              <w:keepNext/>
              <w:keepLines/>
              <w:spacing w:after="0"/>
              <w:jc w:val="center"/>
              <w:rPr>
                <w:rFonts w:asciiTheme="minorHAnsi" w:hAnsiTheme="minorHAnsi" w:cstheme="minorHAnsi"/>
                <w:color w:val="auto"/>
                <w:sz w:val="20"/>
                <w:szCs w:val="18"/>
              </w:rPr>
            </w:pPr>
            <w:r w:rsidRPr="00C9259E">
              <w:rPr>
                <w:color w:val="auto"/>
                <w:sz w:val="20"/>
                <w:szCs w:val="18"/>
              </w:rPr>
              <w:t>19,023</w:t>
            </w:r>
          </w:p>
        </w:tc>
        <w:tc>
          <w:tcPr>
            <w:tcW w:w="1671" w:type="dxa"/>
            <w:tcBorders>
              <w:top w:val="nil"/>
              <w:left w:val="nil"/>
              <w:bottom w:val="nil"/>
              <w:right w:val="single" w:sz="8" w:space="0" w:color="auto"/>
            </w:tcBorders>
            <w:shd w:val="clear" w:color="auto" w:fill="auto"/>
            <w:vAlign w:val="center"/>
          </w:tcPr>
          <w:p w14:paraId="2A884EB8" w14:textId="2572BF3C" w:rsidR="00C9259E" w:rsidRPr="00C9259E" w:rsidRDefault="00C9259E" w:rsidP="00C9259E">
            <w:pPr>
              <w:keepNext/>
              <w:keepLines/>
              <w:spacing w:after="0"/>
              <w:jc w:val="center"/>
              <w:rPr>
                <w:rFonts w:asciiTheme="minorHAnsi" w:hAnsiTheme="minorHAnsi" w:cstheme="minorHAnsi"/>
                <w:color w:val="auto"/>
                <w:sz w:val="20"/>
                <w:szCs w:val="18"/>
              </w:rPr>
            </w:pPr>
            <w:r w:rsidRPr="00C9259E">
              <w:rPr>
                <w:color w:val="auto"/>
                <w:sz w:val="20"/>
                <w:szCs w:val="18"/>
              </w:rPr>
              <w:t>£147,077</w:t>
            </w:r>
          </w:p>
        </w:tc>
      </w:tr>
      <w:tr w:rsidR="00C9259E" w:rsidRPr="00ED4293" w14:paraId="6526CBD3" w14:textId="77777777" w:rsidTr="00C9259E">
        <w:trPr>
          <w:trHeight w:val="320"/>
        </w:trPr>
        <w:tc>
          <w:tcPr>
            <w:tcW w:w="3751" w:type="dxa"/>
            <w:tcBorders>
              <w:top w:val="nil"/>
              <w:left w:val="single" w:sz="8" w:space="0" w:color="auto"/>
              <w:bottom w:val="nil"/>
              <w:right w:val="single" w:sz="8" w:space="0" w:color="auto"/>
            </w:tcBorders>
            <w:shd w:val="clear" w:color="auto" w:fill="auto"/>
            <w:vAlign w:val="center"/>
          </w:tcPr>
          <w:p w14:paraId="0F5DB73F" w14:textId="4CFFC912" w:rsidR="00C9259E" w:rsidRPr="00C9259E" w:rsidRDefault="00C9259E" w:rsidP="00C9259E">
            <w:pPr>
              <w:keepNext/>
              <w:keepLines/>
              <w:spacing w:after="0"/>
              <w:rPr>
                <w:rFonts w:asciiTheme="minorHAnsi" w:hAnsiTheme="minorHAnsi" w:cstheme="minorHAnsi"/>
                <w:color w:val="auto"/>
                <w:sz w:val="20"/>
                <w:szCs w:val="18"/>
              </w:rPr>
            </w:pPr>
            <w:proofErr w:type="gramStart"/>
            <w:r w:rsidRPr="00C9259E">
              <w:rPr>
                <w:color w:val="auto"/>
                <w:sz w:val="20"/>
                <w:szCs w:val="18"/>
              </w:rPr>
              <w:t>South East</w:t>
            </w:r>
            <w:proofErr w:type="gramEnd"/>
          </w:p>
        </w:tc>
        <w:tc>
          <w:tcPr>
            <w:tcW w:w="1936" w:type="dxa"/>
            <w:tcBorders>
              <w:top w:val="nil"/>
              <w:left w:val="nil"/>
              <w:bottom w:val="nil"/>
              <w:right w:val="single" w:sz="8" w:space="0" w:color="auto"/>
            </w:tcBorders>
            <w:shd w:val="clear" w:color="auto" w:fill="auto"/>
            <w:vAlign w:val="center"/>
          </w:tcPr>
          <w:p w14:paraId="194BB552" w14:textId="023322DF" w:rsidR="00C9259E" w:rsidRPr="00C9259E" w:rsidRDefault="00C9259E" w:rsidP="00C9259E">
            <w:pPr>
              <w:keepNext/>
              <w:keepLines/>
              <w:spacing w:after="0"/>
              <w:jc w:val="center"/>
              <w:rPr>
                <w:rFonts w:asciiTheme="minorHAnsi" w:hAnsiTheme="minorHAnsi" w:cstheme="minorHAnsi"/>
                <w:color w:val="auto"/>
                <w:sz w:val="20"/>
                <w:szCs w:val="18"/>
              </w:rPr>
            </w:pPr>
            <w:r w:rsidRPr="00C9259E">
              <w:rPr>
                <w:color w:val="auto"/>
                <w:sz w:val="20"/>
                <w:szCs w:val="18"/>
              </w:rPr>
              <w:t>£4,843,230,670</w:t>
            </w:r>
          </w:p>
        </w:tc>
        <w:tc>
          <w:tcPr>
            <w:tcW w:w="1284" w:type="dxa"/>
            <w:tcBorders>
              <w:top w:val="nil"/>
              <w:left w:val="nil"/>
              <w:bottom w:val="nil"/>
              <w:right w:val="single" w:sz="8" w:space="0" w:color="auto"/>
            </w:tcBorders>
            <w:shd w:val="clear" w:color="auto" w:fill="auto"/>
            <w:vAlign w:val="center"/>
          </w:tcPr>
          <w:p w14:paraId="0877BE91" w14:textId="2A6C1268" w:rsidR="00C9259E" w:rsidRPr="00C9259E" w:rsidRDefault="00C9259E" w:rsidP="00C9259E">
            <w:pPr>
              <w:keepNext/>
              <w:keepLines/>
              <w:spacing w:after="0"/>
              <w:jc w:val="center"/>
              <w:rPr>
                <w:rFonts w:asciiTheme="minorHAnsi" w:hAnsiTheme="minorHAnsi" w:cstheme="minorHAnsi"/>
                <w:color w:val="auto"/>
                <w:sz w:val="20"/>
                <w:szCs w:val="18"/>
              </w:rPr>
            </w:pPr>
            <w:r w:rsidRPr="00C9259E">
              <w:rPr>
                <w:color w:val="auto"/>
                <w:sz w:val="20"/>
                <w:szCs w:val="18"/>
              </w:rPr>
              <w:t>23,091</w:t>
            </w:r>
          </w:p>
        </w:tc>
        <w:tc>
          <w:tcPr>
            <w:tcW w:w="1671" w:type="dxa"/>
            <w:tcBorders>
              <w:top w:val="nil"/>
              <w:left w:val="nil"/>
              <w:bottom w:val="nil"/>
              <w:right w:val="single" w:sz="8" w:space="0" w:color="auto"/>
            </w:tcBorders>
            <w:shd w:val="clear" w:color="auto" w:fill="auto"/>
            <w:vAlign w:val="center"/>
          </w:tcPr>
          <w:p w14:paraId="74D687DB" w14:textId="31177174" w:rsidR="00C9259E" w:rsidRPr="00C9259E" w:rsidRDefault="00C9259E" w:rsidP="00C9259E">
            <w:pPr>
              <w:keepNext/>
              <w:keepLines/>
              <w:spacing w:after="0"/>
              <w:jc w:val="center"/>
              <w:rPr>
                <w:rFonts w:asciiTheme="minorHAnsi" w:hAnsiTheme="minorHAnsi" w:cstheme="minorHAnsi"/>
                <w:color w:val="auto"/>
                <w:sz w:val="20"/>
                <w:szCs w:val="18"/>
              </w:rPr>
            </w:pPr>
            <w:r w:rsidRPr="00C9259E">
              <w:rPr>
                <w:color w:val="auto"/>
                <w:sz w:val="20"/>
                <w:szCs w:val="18"/>
              </w:rPr>
              <w:t>£209,745</w:t>
            </w:r>
          </w:p>
        </w:tc>
      </w:tr>
      <w:tr w:rsidR="00C9259E" w:rsidRPr="00ED4293" w14:paraId="113ACA6B" w14:textId="77777777" w:rsidTr="00C9259E">
        <w:trPr>
          <w:trHeight w:val="320"/>
        </w:trPr>
        <w:tc>
          <w:tcPr>
            <w:tcW w:w="3751" w:type="dxa"/>
            <w:tcBorders>
              <w:top w:val="nil"/>
              <w:left w:val="single" w:sz="8" w:space="0" w:color="auto"/>
              <w:bottom w:val="nil"/>
              <w:right w:val="single" w:sz="8" w:space="0" w:color="auto"/>
            </w:tcBorders>
            <w:shd w:val="clear" w:color="auto" w:fill="auto"/>
            <w:vAlign w:val="center"/>
          </w:tcPr>
          <w:p w14:paraId="2F0F980E" w14:textId="1B658F9E" w:rsidR="00C9259E" w:rsidRPr="00C9259E" w:rsidRDefault="00C9259E" w:rsidP="00C9259E">
            <w:pPr>
              <w:keepNext/>
              <w:keepLines/>
              <w:spacing w:after="0"/>
              <w:rPr>
                <w:rFonts w:asciiTheme="minorHAnsi" w:hAnsiTheme="minorHAnsi" w:cstheme="minorHAnsi"/>
                <w:color w:val="auto"/>
                <w:sz w:val="20"/>
                <w:szCs w:val="18"/>
              </w:rPr>
            </w:pPr>
            <w:proofErr w:type="gramStart"/>
            <w:r w:rsidRPr="00C9259E">
              <w:rPr>
                <w:color w:val="auto"/>
                <w:sz w:val="20"/>
                <w:szCs w:val="18"/>
              </w:rPr>
              <w:t>South West</w:t>
            </w:r>
            <w:proofErr w:type="gramEnd"/>
          </w:p>
        </w:tc>
        <w:tc>
          <w:tcPr>
            <w:tcW w:w="1936" w:type="dxa"/>
            <w:tcBorders>
              <w:top w:val="nil"/>
              <w:left w:val="nil"/>
              <w:bottom w:val="nil"/>
              <w:right w:val="single" w:sz="8" w:space="0" w:color="auto"/>
            </w:tcBorders>
            <w:shd w:val="clear" w:color="auto" w:fill="auto"/>
            <w:vAlign w:val="center"/>
          </w:tcPr>
          <w:p w14:paraId="04492516" w14:textId="0BD30B9A" w:rsidR="00C9259E" w:rsidRPr="00C9259E" w:rsidRDefault="00C9259E" w:rsidP="00C9259E">
            <w:pPr>
              <w:keepNext/>
              <w:keepLines/>
              <w:spacing w:after="0"/>
              <w:jc w:val="center"/>
              <w:rPr>
                <w:rFonts w:asciiTheme="minorHAnsi" w:hAnsiTheme="minorHAnsi" w:cstheme="minorHAnsi"/>
                <w:color w:val="auto"/>
                <w:sz w:val="20"/>
                <w:szCs w:val="18"/>
              </w:rPr>
            </w:pPr>
            <w:r w:rsidRPr="00C9259E">
              <w:rPr>
                <w:color w:val="auto"/>
                <w:sz w:val="20"/>
                <w:szCs w:val="18"/>
              </w:rPr>
              <w:t>£1,738,954,647</w:t>
            </w:r>
          </w:p>
        </w:tc>
        <w:tc>
          <w:tcPr>
            <w:tcW w:w="1284" w:type="dxa"/>
            <w:tcBorders>
              <w:top w:val="nil"/>
              <w:left w:val="nil"/>
              <w:bottom w:val="nil"/>
              <w:right w:val="single" w:sz="8" w:space="0" w:color="auto"/>
            </w:tcBorders>
            <w:shd w:val="clear" w:color="auto" w:fill="auto"/>
            <w:vAlign w:val="center"/>
          </w:tcPr>
          <w:p w14:paraId="052061DC" w14:textId="15111C8B" w:rsidR="00C9259E" w:rsidRPr="00C9259E" w:rsidRDefault="00C9259E" w:rsidP="00C9259E">
            <w:pPr>
              <w:keepNext/>
              <w:keepLines/>
              <w:spacing w:after="0"/>
              <w:jc w:val="center"/>
              <w:rPr>
                <w:rFonts w:asciiTheme="minorHAnsi" w:hAnsiTheme="minorHAnsi" w:cstheme="minorHAnsi"/>
                <w:color w:val="auto"/>
                <w:sz w:val="20"/>
                <w:szCs w:val="18"/>
              </w:rPr>
            </w:pPr>
            <w:r w:rsidRPr="00C9259E">
              <w:rPr>
                <w:color w:val="auto"/>
                <w:sz w:val="20"/>
                <w:szCs w:val="18"/>
              </w:rPr>
              <w:t>9,925</w:t>
            </w:r>
          </w:p>
        </w:tc>
        <w:tc>
          <w:tcPr>
            <w:tcW w:w="1671" w:type="dxa"/>
            <w:tcBorders>
              <w:top w:val="nil"/>
              <w:left w:val="nil"/>
              <w:bottom w:val="nil"/>
              <w:right w:val="single" w:sz="8" w:space="0" w:color="auto"/>
            </w:tcBorders>
            <w:shd w:val="clear" w:color="auto" w:fill="auto"/>
            <w:vAlign w:val="center"/>
          </w:tcPr>
          <w:p w14:paraId="4656F67C" w14:textId="04BDF882" w:rsidR="00C9259E" w:rsidRPr="00C9259E" w:rsidRDefault="00C9259E" w:rsidP="00C9259E">
            <w:pPr>
              <w:keepNext/>
              <w:keepLines/>
              <w:spacing w:after="0"/>
              <w:jc w:val="center"/>
              <w:rPr>
                <w:rFonts w:asciiTheme="minorHAnsi" w:hAnsiTheme="minorHAnsi" w:cstheme="minorHAnsi"/>
                <w:color w:val="auto"/>
                <w:sz w:val="20"/>
                <w:szCs w:val="18"/>
              </w:rPr>
            </w:pPr>
            <w:r w:rsidRPr="00C9259E">
              <w:rPr>
                <w:color w:val="auto"/>
                <w:sz w:val="20"/>
                <w:szCs w:val="18"/>
              </w:rPr>
              <w:t>£175,210</w:t>
            </w:r>
          </w:p>
        </w:tc>
      </w:tr>
      <w:tr w:rsidR="00C9259E" w:rsidRPr="00ED4293" w14:paraId="703FA4FE" w14:textId="77777777" w:rsidTr="00C9259E">
        <w:trPr>
          <w:trHeight w:val="320"/>
        </w:trPr>
        <w:tc>
          <w:tcPr>
            <w:tcW w:w="3751" w:type="dxa"/>
            <w:tcBorders>
              <w:top w:val="nil"/>
              <w:left w:val="single" w:sz="8" w:space="0" w:color="auto"/>
              <w:bottom w:val="nil"/>
              <w:right w:val="single" w:sz="8" w:space="0" w:color="auto"/>
            </w:tcBorders>
            <w:shd w:val="clear" w:color="auto" w:fill="auto"/>
            <w:vAlign w:val="center"/>
            <w:hideMark/>
          </w:tcPr>
          <w:p w14:paraId="6B59847E" w14:textId="3B9C13B4" w:rsidR="00C9259E" w:rsidRPr="00C9259E" w:rsidRDefault="00C9259E" w:rsidP="00C9259E">
            <w:pPr>
              <w:keepNext/>
              <w:keepLines/>
              <w:spacing w:after="0"/>
              <w:rPr>
                <w:rFonts w:asciiTheme="minorHAnsi" w:eastAsia="Times New Roman" w:hAnsiTheme="minorHAnsi" w:cstheme="minorHAnsi"/>
                <w:color w:val="auto"/>
                <w:sz w:val="20"/>
                <w:szCs w:val="18"/>
                <w:lang w:eastAsia="en-GB"/>
              </w:rPr>
            </w:pPr>
            <w:r w:rsidRPr="00C9259E">
              <w:rPr>
                <w:color w:val="auto"/>
                <w:sz w:val="20"/>
                <w:szCs w:val="18"/>
              </w:rPr>
              <w:t>West Midlands</w:t>
            </w:r>
          </w:p>
        </w:tc>
        <w:tc>
          <w:tcPr>
            <w:tcW w:w="1936" w:type="dxa"/>
            <w:tcBorders>
              <w:top w:val="nil"/>
              <w:left w:val="nil"/>
              <w:bottom w:val="nil"/>
              <w:right w:val="single" w:sz="8" w:space="0" w:color="auto"/>
            </w:tcBorders>
            <w:shd w:val="clear" w:color="auto" w:fill="auto"/>
            <w:vAlign w:val="center"/>
            <w:hideMark/>
          </w:tcPr>
          <w:p w14:paraId="643CD693" w14:textId="171DB359" w:rsidR="00C9259E" w:rsidRPr="00C9259E" w:rsidRDefault="00C9259E" w:rsidP="00C9259E">
            <w:pPr>
              <w:keepNext/>
              <w:keepLines/>
              <w:spacing w:after="0"/>
              <w:jc w:val="center"/>
              <w:rPr>
                <w:rFonts w:asciiTheme="minorHAnsi" w:eastAsia="Times New Roman" w:hAnsiTheme="minorHAnsi" w:cstheme="minorHAnsi"/>
                <w:color w:val="auto"/>
                <w:sz w:val="20"/>
                <w:szCs w:val="18"/>
                <w:lang w:eastAsia="en-GB"/>
              </w:rPr>
            </w:pPr>
            <w:r w:rsidRPr="00C9259E">
              <w:rPr>
                <w:color w:val="auto"/>
                <w:sz w:val="20"/>
                <w:szCs w:val="18"/>
              </w:rPr>
              <w:t>£1,503,480,075</w:t>
            </w:r>
          </w:p>
        </w:tc>
        <w:tc>
          <w:tcPr>
            <w:tcW w:w="1284" w:type="dxa"/>
            <w:tcBorders>
              <w:top w:val="nil"/>
              <w:left w:val="nil"/>
              <w:bottom w:val="nil"/>
              <w:right w:val="single" w:sz="8" w:space="0" w:color="auto"/>
            </w:tcBorders>
            <w:shd w:val="clear" w:color="auto" w:fill="auto"/>
            <w:vAlign w:val="center"/>
            <w:hideMark/>
          </w:tcPr>
          <w:p w14:paraId="0D00A889" w14:textId="749482A8" w:rsidR="00C9259E" w:rsidRPr="00C9259E" w:rsidRDefault="00C9259E" w:rsidP="00C9259E">
            <w:pPr>
              <w:keepNext/>
              <w:keepLines/>
              <w:spacing w:after="0"/>
              <w:jc w:val="center"/>
              <w:rPr>
                <w:rFonts w:asciiTheme="minorHAnsi" w:eastAsia="Times New Roman" w:hAnsiTheme="minorHAnsi" w:cstheme="minorHAnsi"/>
                <w:color w:val="auto"/>
                <w:sz w:val="20"/>
                <w:szCs w:val="18"/>
                <w:lang w:eastAsia="en-GB"/>
              </w:rPr>
            </w:pPr>
            <w:r w:rsidRPr="00C9259E">
              <w:rPr>
                <w:color w:val="auto"/>
                <w:sz w:val="20"/>
                <w:szCs w:val="18"/>
              </w:rPr>
              <w:t>9,790</w:t>
            </w:r>
          </w:p>
        </w:tc>
        <w:tc>
          <w:tcPr>
            <w:tcW w:w="1671" w:type="dxa"/>
            <w:tcBorders>
              <w:top w:val="nil"/>
              <w:left w:val="nil"/>
              <w:bottom w:val="nil"/>
              <w:right w:val="single" w:sz="8" w:space="0" w:color="auto"/>
            </w:tcBorders>
            <w:shd w:val="clear" w:color="auto" w:fill="auto"/>
            <w:vAlign w:val="center"/>
            <w:hideMark/>
          </w:tcPr>
          <w:p w14:paraId="6D4E4F28" w14:textId="4CB2007E" w:rsidR="00C9259E" w:rsidRPr="00C9259E" w:rsidRDefault="00C9259E" w:rsidP="00C9259E">
            <w:pPr>
              <w:keepNext/>
              <w:keepLines/>
              <w:spacing w:after="0"/>
              <w:jc w:val="center"/>
              <w:rPr>
                <w:rFonts w:asciiTheme="minorHAnsi" w:eastAsia="Times New Roman" w:hAnsiTheme="minorHAnsi" w:cstheme="minorHAnsi"/>
                <w:color w:val="auto"/>
                <w:sz w:val="20"/>
                <w:szCs w:val="18"/>
                <w:lang w:eastAsia="en-GB"/>
              </w:rPr>
            </w:pPr>
            <w:r w:rsidRPr="00C9259E">
              <w:rPr>
                <w:color w:val="auto"/>
                <w:sz w:val="20"/>
                <w:szCs w:val="18"/>
              </w:rPr>
              <w:t>£153,573</w:t>
            </w:r>
          </w:p>
        </w:tc>
      </w:tr>
      <w:tr w:rsidR="00C9259E" w:rsidRPr="00ED4293" w14:paraId="0EA64988" w14:textId="77777777" w:rsidTr="00C9259E">
        <w:trPr>
          <w:trHeight w:val="320"/>
        </w:trPr>
        <w:tc>
          <w:tcPr>
            <w:tcW w:w="3751" w:type="dxa"/>
            <w:tcBorders>
              <w:top w:val="nil"/>
              <w:left w:val="single" w:sz="8" w:space="0" w:color="auto"/>
              <w:bottom w:val="single" w:sz="4" w:space="0" w:color="auto"/>
              <w:right w:val="single" w:sz="8" w:space="0" w:color="auto"/>
            </w:tcBorders>
            <w:shd w:val="clear" w:color="auto" w:fill="auto"/>
            <w:vAlign w:val="center"/>
            <w:hideMark/>
          </w:tcPr>
          <w:p w14:paraId="54A9A107" w14:textId="4DD32EB9" w:rsidR="00C9259E" w:rsidRPr="00C9259E" w:rsidRDefault="00C9259E" w:rsidP="00C9259E">
            <w:pPr>
              <w:keepNext/>
              <w:keepLines/>
              <w:spacing w:after="0"/>
              <w:rPr>
                <w:rFonts w:asciiTheme="minorHAnsi" w:eastAsia="Times New Roman" w:hAnsiTheme="minorHAnsi" w:cstheme="minorHAnsi"/>
                <w:color w:val="auto"/>
                <w:sz w:val="20"/>
                <w:szCs w:val="18"/>
                <w:lang w:eastAsia="en-GB"/>
              </w:rPr>
            </w:pPr>
            <w:r w:rsidRPr="00C9259E">
              <w:rPr>
                <w:color w:val="auto"/>
                <w:sz w:val="20"/>
                <w:szCs w:val="18"/>
              </w:rPr>
              <w:t>Yorkshire and The Humber</w:t>
            </w:r>
          </w:p>
        </w:tc>
        <w:tc>
          <w:tcPr>
            <w:tcW w:w="1936" w:type="dxa"/>
            <w:tcBorders>
              <w:top w:val="nil"/>
              <w:left w:val="nil"/>
              <w:bottom w:val="single" w:sz="4" w:space="0" w:color="auto"/>
              <w:right w:val="single" w:sz="8" w:space="0" w:color="auto"/>
            </w:tcBorders>
            <w:shd w:val="clear" w:color="auto" w:fill="auto"/>
            <w:vAlign w:val="center"/>
            <w:hideMark/>
          </w:tcPr>
          <w:p w14:paraId="0A937405" w14:textId="52E4D43B" w:rsidR="00C9259E" w:rsidRPr="00C9259E" w:rsidRDefault="00C9259E" w:rsidP="00C9259E">
            <w:pPr>
              <w:keepNext/>
              <w:keepLines/>
              <w:spacing w:after="0"/>
              <w:jc w:val="center"/>
              <w:rPr>
                <w:rFonts w:asciiTheme="minorHAnsi" w:eastAsia="Times New Roman" w:hAnsiTheme="minorHAnsi" w:cstheme="minorHAnsi"/>
                <w:color w:val="auto"/>
                <w:sz w:val="20"/>
                <w:szCs w:val="18"/>
                <w:lang w:eastAsia="en-GB"/>
              </w:rPr>
            </w:pPr>
            <w:r w:rsidRPr="00C9259E">
              <w:rPr>
                <w:color w:val="auto"/>
                <w:sz w:val="20"/>
                <w:szCs w:val="18"/>
              </w:rPr>
              <w:t>£1,072,007,478</w:t>
            </w:r>
          </w:p>
        </w:tc>
        <w:tc>
          <w:tcPr>
            <w:tcW w:w="1284" w:type="dxa"/>
            <w:tcBorders>
              <w:top w:val="nil"/>
              <w:left w:val="nil"/>
              <w:bottom w:val="single" w:sz="4" w:space="0" w:color="auto"/>
              <w:right w:val="single" w:sz="8" w:space="0" w:color="auto"/>
            </w:tcBorders>
            <w:shd w:val="clear" w:color="auto" w:fill="auto"/>
            <w:vAlign w:val="center"/>
            <w:hideMark/>
          </w:tcPr>
          <w:p w14:paraId="55D69B90" w14:textId="5E025DDD" w:rsidR="00C9259E" w:rsidRPr="00C9259E" w:rsidRDefault="00C9259E" w:rsidP="00C9259E">
            <w:pPr>
              <w:keepNext/>
              <w:keepLines/>
              <w:spacing w:after="0"/>
              <w:jc w:val="center"/>
              <w:rPr>
                <w:rFonts w:asciiTheme="minorHAnsi" w:eastAsia="Times New Roman" w:hAnsiTheme="minorHAnsi" w:cstheme="minorHAnsi"/>
                <w:color w:val="auto"/>
                <w:sz w:val="20"/>
                <w:szCs w:val="18"/>
                <w:lang w:eastAsia="en-GB"/>
              </w:rPr>
            </w:pPr>
            <w:r w:rsidRPr="00C9259E">
              <w:rPr>
                <w:color w:val="auto"/>
                <w:sz w:val="20"/>
                <w:szCs w:val="18"/>
              </w:rPr>
              <w:t>7,642</w:t>
            </w:r>
          </w:p>
        </w:tc>
        <w:tc>
          <w:tcPr>
            <w:tcW w:w="1671" w:type="dxa"/>
            <w:tcBorders>
              <w:top w:val="nil"/>
              <w:left w:val="nil"/>
              <w:bottom w:val="single" w:sz="4" w:space="0" w:color="auto"/>
              <w:right w:val="single" w:sz="8" w:space="0" w:color="auto"/>
            </w:tcBorders>
            <w:shd w:val="clear" w:color="auto" w:fill="auto"/>
            <w:vAlign w:val="center"/>
            <w:hideMark/>
          </w:tcPr>
          <w:p w14:paraId="251AC28C" w14:textId="43EFA28F" w:rsidR="00C9259E" w:rsidRPr="00C9259E" w:rsidRDefault="00C9259E" w:rsidP="00C9259E">
            <w:pPr>
              <w:keepNext/>
              <w:keepLines/>
              <w:spacing w:after="0"/>
              <w:jc w:val="center"/>
              <w:rPr>
                <w:rFonts w:asciiTheme="minorHAnsi" w:eastAsia="Times New Roman" w:hAnsiTheme="minorHAnsi" w:cstheme="minorHAnsi"/>
                <w:color w:val="auto"/>
                <w:sz w:val="20"/>
                <w:szCs w:val="18"/>
                <w:lang w:eastAsia="en-GB"/>
              </w:rPr>
            </w:pPr>
            <w:r w:rsidRPr="00C9259E">
              <w:rPr>
                <w:color w:val="auto"/>
                <w:sz w:val="20"/>
                <w:szCs w:val="18"/>
              </w:rPr>
              <w:t>£140,278</w:t>
            </w:r>
          </w:p>
        </w:tc>
      </w:tr>
      <w:tr w:rsidR="00C9259E" w:rsidRPr="00ED4293" w14:paraId="7C383C52" w14:textId="77777777" w:rsidTr="00C9259E">
        <w:trPr>
          <w:trHeight w:val="336"/>
        </w:trPr>
        <w:tc>
          <w:tcPr>
            <w:tcW w:w="3751"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1C5FA3A0" w14:textId="2B20089E" w:rsidR="00C9259E" w:rsidRPr="00C9259E" w:rsidRDefault="00C9259E" w:rsidP="00C9259E">
            <w:pPr>
              <w:keepNext/>
              <w:keepLines/>
              <w:spacing w:after="0"/>
              <w:rPr>
                <w:rFonts w:eastAsia="Times New Roman" w:cstheme="minorHAnsi"/>
                <w:b/>
                <w:bCs/>
                <w:color w:val="auto"/>
                <w:sz w:val="20"/>
                <w:szCs w:val="18"/>
                <w:lang w:eastAsia="en-GB"/>
              </w:rPr>
            </w:pPr>
            <w:r w:rsidRPr="00C9259E">
              <w:rPr>
                <w:b/>
                <w:bCs/>
                <w:color w:val="auto"/>
                <w:sz w:val="20"/>
                <w:szCs w:val="18"/>
              </w:rPr>
              <w:t>Total</w:t>
            </w:r>
          </w:p>
        </w:tc>
        <w:tc>
          <w:tcPr>
            <w:tcW w:w="1936" w:type="dxa"/>
            <w:tcBorders>
              <w:top w:val="single" w:sz="4" w:space="0" w:color="auto"/>
              <w:left w:val="nil"/>
              <w:bottom w:val="single" w:sz="8" w:space="0" w:color="auto"/>
              <w:right w:val="single" w:sz="8" w:space="0" w:color="auto"/>
            </w:tcBorders>
            <w:shd w:val="clear" w:color="auto" w:fill="auto"/>
            <w:vAlign w:val="center"/>
            <w:hideMark/>
          </w:tcPr>
          <w:p w14:paraId="1C14F3F7" w14:textId="5DD7E44E" w:rsidR="00C9259E" w:rsidRPr="00C9259E" w:rsidRDefault="00C9259E" w:rsidP="00C9259E">
            <w:pPr>
              <w:keepNext/>
              <w:keepLines/>
              <w:spacing w:after="0"/>
              <w:jc w:val="center"/>
              <w:rPr>
                <w:rFonts w:eastAsia="Times New Roman" w:cstheme="minorHAnsi"/>
                <w:b/>
                <w:bCs/>
                <w:color w:val="auto"/>
                <w:sz w:val="20"/>
                <w:szCs w:val="18"/>
                <w:lang w:eastAsia="en-GB"/>
              </w:rPr>
            </w:pPr>
            <w:r w:rsidRPr="00C9259E">
              <w:rPr>
                <w:b/>
                <w:bCs/>
                <w:color w:val="auto"/>
                <w:sz w:val="20"/>
                <w:szCs w:val="18"/>
              </w:rPr>
              <w:t>£17,275,598,809</w:t>
            </w:r>
          </w:p>
        </w:tc>
        <w:tc>
          <w:tcPr>
            <w:tcW w:w="1284" w:type="dxa"/>
            <w:tcBorders>
              <w:top w:val="single" w:sz="4" w:space="0" w:color="auto"/>
              <w:left w:val="nil"/>
              <w:bottom w:val="single" w:sz="8" w:space="0" w:color="auto"/>
              <w:right w:val="single" w:sz="8" w:space="0" w:color="auto"/>
            </w:tcBorders>
            <w:shd w:val="clear" w:color="auto" w:fill="auto"/>
            <w:vAlign w:val="center"/>
            <w:hideMark/>
          </w:tcPr>
          <w:p w14:paraId="6ADFFF1A" w14:textId="46A006E3" w:rsidR="00C9259E" w:rsidRPr="00C9259E" w:rsidRDefault="00C9259E" w:rsidP="00C9259E">
            <w:pPr>
              <w:keepNext/>
              <w:keepLines/>
              <w:spacing w:after="0"/>
              <w:jc w:val="center"/>
              <w:rPr>
                <w:rFonts w:eastAsia="Times New Roman" w:cstheme="minorHAnsi"/>
                <w:b/>
                <w:bCs/>
                <w:color w:val="auto"/>
                <w:sz w:val="20"/>
                <w:szCs w:val="18"/>
                <w:lang w:eastAsia="en-GB"/>
              </w:rPr>
            </w:pPr>
            <w:r w:rsidRPr="00C9259E">
              <w:rPr>
                <w:b/>
                <w:bCs/>
                <w:color w:val="auto"/>
                <w:sz w:val="20"/>
                <w:szCs w:val="18"/>
              </w:rPr>
              <w:t>102,106</w:t>
            </w:r>
          </w:p>
        </w:tc>
        <w:tc>
          <w:tcPr>
            <w:tcW w:w="1671" w:type="dxa"/>
            <w:tcBorders>
              <w:top w:val="single" w:sz="4" w:space="0" w:color="auto"/>
              <w:left w:val="nil"/>
              <w:bottom w:val="single" w:sz="8" w:space="0" w:color="auto"/>
              <w:right w:val="single" w:sz="8" w:space="0" w:color="auto"/>
            </w:tcBorders>
            <w:shd w:val="clear" w:color="auto" w:fill="auto"/>
            <w:vAlign w:val="center"/>
            <w:hideMark/>
          </w:tcPr>
          <w:p w14:paraId="2E4A8760" w14:textId="048FE235" w:rsidR="00C9259E" w:rsidRPr="00C9259E" w:rsidRDefault="00C9259E" w:rsidP="00C9259E">
            <w:pPr>
              <w:keepNext/>
              <w:keepLines/>
              <w:spacing w:after="0"/>
              <w:jc w:val="center"/>
              <w:rPr>
                <w:rFonts w:eastAsia="Times New Roman" w:cstheme="minorHAnsi"/>
                <w:b/>
                <w:bCs/>
                <w:color w:val="auto"/>
                <w:sz w:val="20"/>
                <w:szCs w:val="18"/>
                <w:lang w:eastAsia="en-GB"/>
              </w:rPr>
            </w:pPr>
            <w:r w:rsidRPr="00C9259E">
              <w:rPr>
                <w:b/>
                <w:bCs/>
                <w:color w:val="auto"/>
                <w:sz w:val="20"/>
                <w:szCs w:val="18"/>
              </w:rPr>
              <w:t>£169,193</w:t>
            </w:r>
          </w:p>
        </w:tc>
      </w:tr>
    </w:tbl>
    <w:p w14:paraId="146F1CD0" w14:textId="1928EE45" w:rsidR="00B30EAA" w:rsidRPr="00B30EAA" w:rsidRDefault="00B30EAA" w:rsidP="00E57BF4">
      <w:pPr>
        <w:pStyle w:val="ListBullet"/>
        <w:spacing w:before="60"/>
        <w:jc w:val="right"/>
        <w:rPr>
          <w:bCs/>
          <w:i/>
          <w:sz w:val="18"/>
        </w:rPr>
      </w:pPr>
      <w:r w:rsidRPr="00B30EAA">
        <w:rPr>
          <w:bCs/>
          <w:i/>
          <w:sz w:val="18"/>
        </w:rPr>
        <w:t>Source: Homes England</w:t>
      </w:r>
    </w:p>
    <w:p w14:paraId="05B11755" w14:textId="4B3431FD" w:rsidR="00B30EAA" w:rsidRPr="002C3BC0" w:rsidRDefault="00B30EAA" w:rsidP="007D3E32">
      <w:pPr>
        <w:spacing w:line="276" w:lineRule="auto"/>
        <w:jc w:val="both"/>
        <w:rPr>
          <w:rFonts w:cs="Calibri"/>
        </w:rPr>
      </w:pPr>
      <w:r w:rsidRPr="002C3BC0">
        <w:rPr>
          <w:rFonts w:cs="Calibri"/>
        </w:rPr>
        <w:t>The TSC per home measure for London is £2</w:t>
      </w:r>
      <w:r w:rsidR="002C3BC0" w:rsidRPr="002C3BC0">
        <w:rPr>
          <w:rFonts w:cs="Calibri"/>
        </w:rPr>
        <w:t>81</w:t>
      </w:r>
      <w:r w:rsidRPr="002C3BC0">
        <w:rPr>
          <w:rFonts w:cs="Calibri"/>
        </w:rPr>
        <w:t>,</w:t>
      </w:r>
      <w:r w:rsidR="002C3BC0" w:rsidRPr="002C3BC0">
        <w:rPr>
          <w:rFonts w:cs="Calibri"/>
        </w:rPr>
        <w:t>783</w:t>
      </w:r>
      <w:r w:rsidRPr="002C3BC0">
        <w:rPr>
          <w:rFonts w:cs="Calibri"/>
        </w:rPr>
        <w:t>, based on data provided by the Greater London Authority, which is responsible for funding and delivering the AHP in London.</w:t>
      </w:r>
      <w:r w:rsidRPr="002C3BC0">
        <w:rPr>
          <w:rStyle w:val="FootnoteReference"/>
        </w:rPr>
        <w:footnoteReference w:id="9"/>
      </w:r>
      <w:r w:rsidRPr="002C3BC0">
        <w:rPr>
          <w:rStyle w:val="FootnoteReference"/>
        </w:rPr>
        <w:t xml:space="preserve"> </w:t>
      </w:r>
    </w:p>
    <w:p w14:paraId="75D8BB18" w14:textId="7EAD4DE7" w:rsidR="00B30EAA" w:rsidRDefault="00B30EAA" w:rsidP="007D3E32">
      <w:pPr>
        <w:spacing w:line="276" w:lineRule="auto"/>
        <w:jc w:val="both"/>
        <w:rPr>
          <w:rFonts w:cs="Calibri"/>
        </w:rPr>
      </w:pPr>
      <w:r w:rsidRPr="007D3E32">
        <w:rPr>
          <w:rFonts w:cs="Calibri"/>
        </w:rPr>
        <w:t xml:space="preserve">Only the construction costs and the on-costs of any scheme are taken forward in the analysis. This is because land purchases are not a value-generating economic activity, rather a simple transfer of wealth or capital. For this reason, </w:t>
      </w:r>
      <w:r w:rsidRPr="007D3E32">
        <w:rPr>
          <w:rFonts w:cs="Calibri"/>
        </w:rPr>
        <w:fldChar w:fldCharType="begin"/>
      </w:r>
      <w:r w:rsidRPr="007D3E32">
        <w:rPr>
          <w:rFonts w:cs="Calibri"/>
        </w:rPr>
        <w:instrText xml:space="preserve"> REF _Ref479321165 \h  \* MERGEFORMAT </w:instrText>
      </w:r>
      <w:r w:rsidRPr="007D3E32">
        <w:rPr>
          <w:rFonts w:cs="Calibri"/>
        </w:rPr>
      </w:r>
      <w:r w:rsidRPr="007D3E32">
        <w:rPr>
          <w:rFonts w:cs="Calibri"/>
        </w:rPr>
        <w:fldChar w:fldCharType="separate"/>
      </w:r>
      <w:r w:rsidRPr="007D3E32">
        <w:rPr>
          <w:rFonts w:cs="Calibri"/>
        </w:rPr>
        <w:t>Table 4</w:t>
      </w:r>
      <w:r w:rsidRPr="007D3E32">
        <w:rPr>
          <w:rFonts w:cs="Calibri"/>
        </w:rPr>
        <w:fldChar w:fldCharType="end"/>
      </w:r>
      <w:r w:rsidRPr="007D3E32">
        <w:rPr>
          <w:rFonts w:cs="Calibri"/>
        </w:rPr>
        <w:t xml:space="preserve"> presents the estimates of how total scheme costs are broken down between land, </w:t>
      </w:r>
      <w:proofErr w:type="gramStart"/>
      <w:r w:rsidRPr="007D3E32">
        <w:rPr>
          <w:rFonts w:cs="Calibri"/>
        </w:rPr>
        <w:t>construction</w:t>
      </w:r>
      <w:proofErr w:type="gramEnd"/>
      <w:r w:rsidRPr="007D3E32">
        <w:rPr>
          <w:rFonts w:cs="Calibri"/>
        </w:rPr>
        <w:t xml:space="preserve"> and on-costs for affordable housing schemes in each of the English regions. The construction cost percentages in this NAHP-based table broadly correspond with the “Works Cost” shares for the latest 2016-2021 SOAHP release</w:t>
      </w:r>
      <w:r w:rsidR="00AF0216" w:rsidRPr="007D3E32">
        <w:rPr>
          <w:rFonts w:cs="Calibri"/>
        </w:rPr>
        <w:t>.</w:t>
      </w:r>
    </w:p>
    <w:p w14:paraId="15EFA5BF" w14:textId="498DDF1C" w:rsidR="005A7EA7" w:rsidRDefault="005A7EA7" w:rsidP="00B30EAA">
      <w:pPr>
        <w:spacing w:before="240" w:after="120"/>
        <w:jc w:val="both"/>
        <w:rPr>
          <w:rFonts w:cs="Calibri"/>
        </w:rPr>
      </w:pPr>
    </w:p>
    <w:p w14:paraId="62B52437" w14:textId="6046880A" w:rsidR="005A7EA7" w:rsidRDefault="005A7EA7" w:rsidP="00B30EAA">
      <w:pPr>
        <w:spacing w:before="240" w:after="120"/>
        <w:jc w:val="both"/>
        <w:rPr>
          <w:rFonts w:cs="Calibri"/>
        </w:rPr>
      </w:pPr>
    </w:p>
    <w:p w14:paraId="0CDDDA94" w14:textId="49407EE4" w:rsidR="005A7EA7" w:rsidRDefault="005A7EA7" w:rsidP="00B30EAA">
      <w:pPr>
        <w:spacing w:before="240" w:after="120"/>
        <w:jc w:val="both"/>
        <w:rPr>
          <w:rFonts w:cs="Calibri"/>
        </w:rPr>
      </w:pPr>
    </w:p>
    <w:p w14:paraId="20712A31" w14:textId="1FD87E2F" w:rsidR="00C9259E" w:rsidRDefault="00C9259E">
      <w:pPr>
        <w:spacing w:after="0"/>
        <w:rPr>
          <w:rFonts w:cs="Calibri"/>
        </w:rPr>
      </w:pPr>
      <w:r>
        <w:rPr>
          <w:rFonts w:cs="Calibri"/>
        </w:rPr>
        <w:br w:type="page"/>
      </w:r>
    </w:p>
    <w:p w14:paraId="4F6D9808" w14:textId="77777777" w:rsidR="005A7EA7" w:rsidRDefault="005A7EA7" w:rsidP="00B30EAA">
      <w:pPr>
        <w:spacing w:before="240" w:after="120"/>
        <w:jc w:val="both"/>
        <w:rPr>
          <w:rFonts w:cs="Calibri"/>
        </w:rPr>
      </w:pPr>
    </w:p>
    <w:p w14:paraId="015B124E" w14:textId="161BF5DE" w:rsidR="00C9259E" w:rsidRDefault="00B30EAA" w:rsidP="00C9259E">
      <w:pPr>
        <w:pStyle w:val="Caption"/>
      </w:pPr>
      <w:bookmarkStart w:id="23" w:name="_Ref479321165"/>
      <w:r w:rsidRPr="00C9259E">
        <w:t xml:space="preserve">Table </w:t>
      </w:r>
      <w:r w:rsidR="00C2476A" w:rsidRPr="00C9259E">
        <w:fldChar w:fldCharType="begin"/>
      </w:r>
      <w:r w:rsidR="00C2476A" w:rsidRPr="00C9259E">
        <w:instrText xml:space="preserve"> SEQ Table \* ARABIC </w:instrText>
      </w:r>
      <w:r w:rsidR="00C2476A" w:rsidRPr="00C9259E">
        <w:fldChar w:fldCharType="separate"/>
      </w:r>
      <w:r w:rsidR="00142F7F" w:rsidRPr="00C9259E">
        <w:t>4</w:t>
      </w:r>
      <w:r w:rsidR="00C2476A" w:rsidRPr="00C9259E">
        <w:fldChar w:fldCharType="end"/>
      </w:r>
      <w:bookmarkEnd w:id="23"/>
      <w:r w:rsidRPr="00C9259E">
        <w:t xml:space="preserve">: Breakdown of total scheme costs by land, </w:t>
      </w:r>
      <w:proofErr w:type="gramStart"/>
      <w:r w:rsidRPr="00C9259E">
        <w:t>construction</w:t>
      </w:r>
      <w:proofErr w:type="gramEnd"/>
      <w:r w:rsidRPr="00C9259E">
        <w:t xml:space="preserve"> and on-cost</w:t>
      </w:r>
    </w:p>
    <w:tbl>
      <w:tblPr>
        <w:tblW w:w="8874" w:type="dxa"/>
        <w:tblInd w:w="132" w:type="dxa"/>
        <w:tblLayout w:type="fixed"/>
        <w:tblLook w:val="04A0" w:firstRow="1" w:lastRow="0" w:firstColumn="1" w:lastColumn="0" w:noHBand="0" w:noVBand="1"/>
      </w:tblPr>
      <w:tblGrid>
        <w:gridCol w:w="2835"/>
        <w:gridCol w:w="1509"/>
        <w:gridCol w:w="1510"/>
        <w:gridCol w:w="1510"/>
        <w:gridCol w:w="1510"/>
      </w:tblGrid>
      <w:tr w:rsidR="00E57BF4" w:rsidRPr="00BF23A7" w14:paraId="58353C6F" w14:textId="4F8785C2" w:rsidTr="00E57BF4">
        <w:trPr>
          <w:trHeight w:val="315"/>
        </w:trPr>
        <w:tc>
          <w:tcPr>
            <w:tcW w:w="2835" w:type="dxa"/>
            <w:tcBorders>
              <w:top w:val="single" w:sz="8" w:space="0" w:color="auto"/>
              <w:left w:val="single" w:sz="8" w:space="0" w:color="auto"/>
              <w:bottom w:val="single" w:sz="8" w:space="0" w:color="auto"/>
              <w:right w:val="single" w:sz="8" w:space="0" w:color="auto"/>
            </w:tcBorders>
            <w:shd w:val="clear" w:color="000000" w:fill="008C9B"/>
            <w:vAlign w:val="center"/>
            <w:hideMark/>
          </w:tcPr>
          <w:p w14:paraId="71D729E6" w14:textId="30FEE19A" w:rsidR="00E57BF4" w:rsidRPr="00BF23A7" w:rsidRDefault="00E57BF4" w:rsidP="00E57BF4">
            <w:pPr>
              <w:spacing w:after="0"/>
              <w:rPr>
                <w:rFonts w:eastAsia="Times New Roman"/>
                <w:b/>
                <w:bCs/>
                <w:color w:val="FFFFFF"/>
                <w:sz w:val="20"/>
                <w:lang w:eastAsia="en-GB"/>
              </w:rPr>
            </w:pPr>
            <w:r>
              <w:rPr>
                <w:rFonts w:eastAsia="Times New Roman"/>
                <w:b/>
                <w:bCs/>
                <w:color w:val="FFFFFF"/>
                <w:sz w:val="20"/>
                <w:lang w:eastAsia="en-GB"/>
              </w:rPr>
              <w:t>Region</w:t>
            </w:r>
          </w:p>
        </w:tc>
        <w:tc>
          <w:tcPr>
            <w:tcW w:w="1509" w:type="dxa"/>
            <w:tcBorders>
              <w:top w:val="single" w:sz="8" w:space="0" w:color="auto"/>
              <w:left w:val="nil"/>
              <w:bottom w:val="single" w:sz="8" w:space="0" w:color="auto"/>
              <w:right w:val="single" w:sz="8" w:space="0" w:color="auto"/>
            </w:tcBorders>
            <w:shd w:val="clear" w:color="000000" w:fill="008C9B"/>
            <w:vAlign w:val="center"/>
          </w:tcPr>
          <w:p w14:paraId="666F55A3" w14:textId="4FDB301B" w:rsidR="00E57BF4" w:rsidRPr="00BF23A7" w:rsidRDefault="00E57BF4" w:rsidP="00E57BF4">
            <w:pPr>
              <w:spacing w:after="0"/>
              <w:jc w:val="center"/>
              <w:rPr>
                <w:rFonts w:eastAsia="Times New Roman"/>
                <w:b/>
                <w:bCs/>
                <w:color w:val="FFFFFF"/>
                <w:sz w:val="20"/>
                <w:lang w:eastAsia="en-GB"/>
              </w:rPr>
            </w:pPr>
            <w:r w:rsidRPr="00011E55">
              <w:rPr>
                <w:rFonts w:eastAsia="Times New Roman"/>
                <w:b/>
                <w:bCs/>
                <w:color w:val="FFFFFF"/>
                <w:sz w:val="20"/>
                <w:lang w:eastAsia="en-GB"/>
              </w:rPr>
              <w:t>Land</w:t>
            </w:r>
          </w:p>
        </w:tc>
        <w:tc>
          <w:tcPr>
            <w:tcW w:w="1510" w:type="dxa"/>
            <w:tcBorders>
              <w:top w:val="single" w:sz="8" w:space="0" w:color="auto"/>
              <w:left w:val="nil"/>
              <w:bottom w:val="single" w:sz="8" w:space="0" w:color="auto"/>
              <w:right w:val="single" w:sz="8" w:space="0" w:color="auto"/>
            </w:tcBorders>
            <w:shd w:val="clear" w:color="000000" w:fill="008C9B"/>
            <w:vAlign w:val="center"/>
          </w:tcPr>
          <w:p w14:paraId="0DFF4B96" w14:textId="46E3DD95" w:rsidR="00E57BF4" w:rsidRPr="00BF23A7" w:rsidRDefault="00E57BF4" w:rsidP="00E57BF4">
            <w:pPr>
              <w:spacing w:after="0"/>
              <w:jc w:val="center"/>
              <w:rPr>
                <w:rFonts w:eastAsia="Times New Roman"/>
                <w:b/>
                <w:bCs/>
                <w:color w:val="FFFFFF"/>
                <w:sz w:val="20"/>
                <w:lang w:eastAsia="en-GB"/>
              </w:rPr>
            </w:pPr>
            <w:r w:rsidRPr="00011E55">
              <w:rPr>
                <w:rFonts w:eastAsia="Times New Roman"/>
                <w:b/>
                <w:bCs/>
                <w:color w:val="FFFFFF"/>
                <w:sz w:val="20"/>
                <w:lang w:eastAsia="en-GB"/>
              </w:rPr>
              <w:t>Construction</w:t>
            </w:r>
          </w:p>
        </w:tc>
        <w:tc>
          <w:tcPr>
            <w:tcW w:w="1510" w:type="dxa"/>
            <w:tcBorders>
              <w:top w:val="single" w:sz="8" w:space="0" w:color="auto"/>
              <w:left w:val="nil"/>
              <w:bottom w:val="single" w:sz="8" w:space="0" w:color="auto"/>
              <w:right w:val="single" w:sz="8" w:space="0" w:color="auto"/>
            </w:tcBorders>
            <w:shd w:val="clear" w:color="000000" w:fill="008C9B"/>
            <w:vAlign w:val="center"/>
          </w:tcPr>
          <w:p w14:paraId="1D234782" w14:textId="748DE736" w:rsidR="00E57BF4" w:rsidRDefault="00E57BF4" w:rsidP="00E57BF4">
            <w:pPr>
              <w:spacing w:after="0"/>
              <w:jc w:val="center"/>
              <w:rPr>
                <w:rFonts w:eastAsia="Times New Roman"/>
                <w:b/>
                <w:bCs/>
                <w:color w:val="FFFFFF"/>
                <w:sz w:val="20"/>
                <w:lang w:eastAsia="en-GB"/>
              </w:rPr>
            </w:pPr>
            <w:r w:rsidRPr="00011E55">
              <w:rPr>
                <w:rFonts w:eastAsia="Times New Roman"/>
                <w:b/>
                <w:bCs/>
                <w:color w:val="FFFFFF"/>
                <w:sz w:val="20"/>
                <w:lang w:eastAsia="en-GB"/>
              </w:rPr>
              <w:t>On-Cost</w:t>
            </w:r>
          </w:p>
        </w:tc>
        <w:tc>
          <w:tcPr>
            <w:tcW w:w="1510" w:type="dxa"/>
            <w:tcBorders>
              <w:top w:val="single" w:sz="8" w:space="0" w:color="auto"/>
              <w:left w:val="nil"/>
              <w:bottom w:val="single" w:sz="8" w:space="0" w:color="auto"/>
              <w:right w:val="single" w:sz="8" w:space="0" w:color="auto"/>
            </w:tcBorders>
            <w:shd w:val="clear" w:color="000000" w:fill="008C9B"/>
            <w:vAlign w:val="center"/>
          </w:tcPr>
          <w:p w14:paraId="6D7B0C82" w14:textId="3420B96F" w:rsidR="00E57BF4" w:rsidRDefault="00E57BF4" w:rsidP="00E57BF4">
            <w:pPr>
              <w:spacing w:after="0"/>
              <w:jc w:val="center"/>
              <w:rPr>
                <w:rFonts w:eastAsia="Times New Roman"/>
                <w:b/>
                <w:bCs/>
                <w:color w:val="FFFFFF"/>
                <w:sz w:val="20"/>
                <w:lang w:eastAsia="en-GB"/>
              </w:rPr>
            </w:pPr>
            <w:r w:rsidRPr="00011E55">
              <w:rPr>
                <w:rFonts w:eastAsia="Times New Roman"/>
                <w:b/>
                <w:bCs/>
                <w:color w:val="FFFFFF"/>
                <w:sz w:val="20"/>
                <w:lang w:eastAsia="en-GB"/>
              </w:rPr>
              <w:t>Construction + On-Cost</w:t>
            </w:r>
          </w:p>
        </w:tc>
      </w:tr>
      <w:tr w:rsidR="00E57BF4" w:rsidRPr="00BF23A7" w14:paraId="43212B07" w14:textId="249BBF9B" w:rsidTr="00E57BF4">
        <w:trPr>
          <w:trHeight w:val="300"/>
        </w:trPr>
        <w:tc>
          <w:tcPr>
            <w:tcW w:w="2835" w:type="dxa"/>
            <w:tcBorders>
              <w:top w:val="nil"/>
              <w:left w:val="single" w:sz="8" w:space="0" w:color="auto"/>
              <w:bottom w:val="nil"/>
              <w:right w:val="single" w:sz="8" w:space="0" w:color="auto"/>
            </w:tcBorders>
            <w:shd w:val="clear" w:color="auto" w:fill="auto"/>
            <w:vAlign w:val="center"/>
            <w:hideMark/>
          </w:tcPr>
          <w:p w14:paraId="0D5C4F96" w14:textId="6ECB8B38" w:rsidR="00E57BF4" w:rsidRPr="00830D25" w:rsidRDefault="00E57BF4" w:rsidP="00E57BF4">
            <w:pPr>
              <w:spacing w:after="0"/>
              <w:rPr>
                <w:rFonts w:eastAsia="Times New Roman"/>
                <w:color w:val="000000" w:themeColor="text1"/>
                <w:sz w:val="20"/>
                <w:lang w:eastAsia="en-GB"/>
              </w:rPr>
            </w:pPr>
            <w:proofErr w:type="gramStart"/>
            <w:r w:rsidRPr="00011E55">
              <w:rPr>
                <w:rFonts w:eastAsia="Times New Roman"/>
                <w:color w:val="000000"/>
                <w:sz w:val="20"/>
                <w:lang w:eastAsia="en-GB"/>
              </w:rPr>
              <w:t xml:space="preserve">South </w:t>
            </w:r>
            <w:r w:rsidRPr="00830D25">
              <w:rPr>
                <w:rFonts w:eastAsia="Times New Roman"/>
                <w:color w:val="000000" w:themeColor="text1"/>
                <w:sz w:val="20"/>
                <w:lang w:eastAsia="en-GB"/>
              </w:rPr>
              <w:t>East</w:t>
            </w:r>
            <w:proofErr w:type="gramEnd"/>
          </w:p>
        </w:tc>
        <w:tc>
          <w:tcPr>
            <w:tcW w:w="1509" w:type="dxa"/>
            <w:tcBorders>
              <w:top w:val="nil"/>
              <w:left w:val="nil"/>
              <w:bottom w:val="nil"/>
              <w:right w:val="single" w:sz="8" w:space="0" w:color="auto"/>
            </w:tcBorders>
            <w:vAlign w:val="center"/>
          </w:tcPr>
          <w:p w14:paraId="2965D821" w14:textId="167C0BA1" w:rsidR="00E57BF4" w:rsidRPr="00830D25" w:rsidRDefault="00E57BF4" w:rsidP="00E57BF4">
            <w:pPr>
              <w:spacing w:after="0"/>
              <w:jc w:val="center"/>
              <w:rPr>
                <w:rFonts w:eastAsia="Times New Roman"/>
                <w:color w:val="000000" w:themeColor="text1"/>
                <w:sz w:val="20"/>
                <w:lang w:eastAsia="en-GB"/>
              </w:rPr>
            </w:pPr>
            <w:r w:rsidRPr="00677421">
              <w:rPr>
                <w:sz w:val="20"/>
              </w:rPr>
              <w:t>21.0%</w:t>
            </w:r>
          </w:p>
        </w:tc>
        <w:tc>
          <w:tcPr>
            <w:tcW w:w="1510" w:type="dxa"/>
            <w:tcBorders>
              <w:top w:val="nil"/>
              <w:left w:val="nil"/>
              <w:bottom w:val="nil"/>
              <w:right w:val="single" w:sz="8" w:space="0" w:color="auto"/>
            </w:tcBorders>
            <w:vAlign w:val="center"/>
          </w:tcPr>
          <w:p w14:paraId="1F388673" w14:textId="5E6E0AA7" w:rsidR="00E57BF4" w:rsidRPr="00830D25" w:rsidRDefault="00E57BF4" w:rsidP="00E57BF4">
            <w:pPr>
              <w:spacing w:after="0"/>
              <w:jc w:val="center"/>
              <w:rPr>
                <w:rFonts w:eastAsia="Times New Roman"/>
                <w:color w:val="000000" w:themeColor="text1"/>
                <w:sz w:val="20"/>
                <w:lang w:eastAsia="en-GB"/>
              </w:rPr>
            </w:pPr>
            <w:r w:rsidRPr="00677421">
              <w:rPr>
                <w:sz w:val="20"/>
              </w:rPr>
              <w:t>66.9%</w:t>
            </w:r>
          </w:p>
        </w:tc>
        <w:tc>
          <w:tcPr>
            <w:tcW w:w="1510" w:type="dxa"/>
            <w:tcBorders>
              <w:top w:val="nil"/>
              <w:left w:val="nil"/>
              <w:bottom w:val="nil"/>
              <w:right w:val="single" w:sz="8" w:space="0" w:color="auto"/>
            </w:tcBorders>
            <w:vAlign w:val="center"/>
          </w:tcPr>
          <w:p w14:paraId="061251D6" w14:textId="70D610C8" w:rsidR="00E57BF4" w:rsidRPr="00830D25" w:rsidRDefault="00E57BF4" w:rsidP="00E57BF4">
            <w:pPr>
              <w:spacing w:after="0"/>
              <w:jc w:val="center"/>
              <w:rPr>
                <w:rFonts w:eastAsia="Times New Roman"/>
                <w:color w:val="000000" w:themeColor="text1"/>
                <w:sz w:val="20"/>
                <w:lang w:eastAsia="en-GB"/>
              </w:rPr>
            </w:pPr>
            <w:r w:rsidRPr="00677421">
              <w:rPr>
                <w:sz w:val="20"/>
              </w:rPr>
              <w:t>12.0%</w:t>
            </w:r>
          </w:p>
        </w:tc>
        <w:tc>
          <w:tcPr>
            <w:tcW w:w="1510" w:type="dxa"/>
            <w:tcBorders>
              <w:top w:val="nil"/>
              <w:left w:val="nil"/>
              <w:bottom w:val="nil"/>
              <w:right w:val="single" w:sz="8" w:space="0" w:color="auto"/>
            </w:tcBorders>
            <w:vAlign w:val="center"/>
          </w:tcPr>
          <w:p w14:paraId="07DA3EE2" w14:textId="6A4BEACF" w:rsidR="00E57BF4" w:rsidRPr="00830D25" w:rsidRDefault="00E57BF4" w:rsidP="00E57BF4">
            <w:pPr>
              <w:spacing w:after="0"/>
              <w:jc w:val="center"/>
              <w:rPr>
                <w:rFonts w:eastAsia="Times New Roman"/>
                <w:color w:val="000000" w:themeColor="text1"/>
                <w:sz w:val="20"/>
                <w:lang w:eastAsia="en-GB"/>
              </w:rPr>
            </w:pPr>
            <w:r w:rsidRPr="00677421">
              <w:rPr>
                <w:sz w:val="20"/>
              </w:rPr>
              <w:t>79.0%</w:t>
            </w:r>
          </w:p>
        </w:tc>
      </w:tr>
      <w:tr w:rsidR="00E57BF4" w:rsidRPr="00BF23A7" w14:paraId="36E17BA0" w14:textId="5AAB2A29" w:rsidTr="00E57BF4">
        <w:trPr>
          <w:trHeight w:val="300"/>
        </w:trPr>
        <w:tc>
          <w:tcPr>
            <w:tcW w:w="2835" w:type="dxa"/>
            <w:tcBorders>
              <w:top w:val="nil"/>
              <w:left w:val="single" w:sz="8" w:space="0" w:color="auto"/>
              <w:bottom w:val="nil"/>
              <w:right w:val="single" w:sz="8" w:space="0" w:color="auto"/>
            </w:tcBorders>
            <w:shd w:val="clear" w:color="auto" w:fill="auto"/>
            <w:vAlign w:val="center"/>
            <w:hideMark/>
          </w:tcPr>
          <w:p w14:paraId="6A7C787E" w14:textId="19D5F05C" w:rsidR="00E57BF4" w:rsidRPr="00830D25" w:rsidRDefault="00E57BF4" w:rsidP="00E57BF4">
            <w:pPr>
              <w:spacing w:after="0"/>
              <w:rPr>
                <w:rFonts w:eastAsia="Times New Roman"/>
                <w:color w:val="000000" w:themeColor="text1"/>
                <w:sz w:val="20"/>
                <w:lang w:eastAsia="en-GB"/>
              </w:rPr>
            </w:pPr>
            <w:r w:rsidRPr="00011E55">
              <w:rPr>
                <w:rFonts w:eastAsia="Times New Roman"/>
                <w:color w:val="000000"/>
                <w:sz w:val="20"/>
                <w:lang w:eastAsia="en-GB"/>
              </w:rPr>
              <w:t>East of England</w:t>
            </w:r>
          </w:p>
        </w:tc>
        <w:tc>
          <w:tcPr>
            <w:tcW w:w="1509" w:type="dxa"/>
            <w:tcBorders>
              <w:top w:val="nil"/>
              <w:left w:val="nil"/>
              <w:bottom w:val="nil"/>
              <w:right w:val="single" w:sz="8" w:space="0" w:color="auto"/>
            </w:tcBorders>
            <w:vAlign w:val="center"/>
          </w:tcPr>
          <w:p w14:paraId="44276884" w14:textId="307361CB" w:rsidR="00E57BF4" w:rsidRPr="00830D25" w:rsidRDefault="00E57BF4" w:rsidP="00E57BF4">
            <w:pPr>
              <w:spacing w:after="0"/>
              <w:jc w:val="center"/>
              <w:rPr>
                <w:rFonts w:eastAsia="Times New Roman"/>
                <w:color w:val="000000" w:themeColor="text1"/>
                <w:sz w:val="20"/>
                <w:lang w:eastAsia="en-GB"/>
              </w:rPr>
            </w:pPr>
            <w:r w:rsidRPr="00677421">
              <w:rPr>
                <w:sz w:val="20"/>
              </w:rPr>
              <w:t>19.5%</w:t>
            </w:r>
          </w:p>
        </w:tc>
        <w:tc>
          <w:tcPr>
            <w:tcW w:w="1510" w:type="dxa"/>
            <w:tcBorders>
              <w:top w:val="nil"/>
              <w:left w:val="nil"/>
              <w:bottom w:val="nil"/>
              <w:right w:val="single" w:sz="8" w:space="0" w:color="auto"/>
            </w:tcBorders>
            <w:vAlign w:val="center"/>
          </w:tcPr>
          <w:p w14:paraId="230EAEAD" w14:textId="7BBE23A6" w:rsidR="00E57BF4" w:rsidRPr="00830D25" w:rsidRDefault="00E57BF4" w:rsidP="00E57BF4">
            <w:pPr>
              <w:spacing w:after="0"/>
              <w:jc w:val="center"/>
              <w:rPr>
                <w:rFonts w:eastAsia="Times New Roman"/>
                <w:color w:val="000000" w:themeColor="text1"/>
                <w:sz w:val="20"/>
                <w:lang w:eastAsia="en-GB"/>
              </w:rPr>
            </w:pPr>
            <w:r w:rsidRPr="00677421">
              <w:rPr>
                <w:sz w:val="20"/>
              </w:rPr>
              <w:t>69.4%</w:t>
            </w:r>
          </w:p>
        </w:tc>
        <w:tc>
          <w:tcPr>
            <w:tcW w:w="1510" w:type="dxa"/>
            <w:tcBorders>
              <w:top w:val="nil"/>
              <w:left w:val="nil"/>
              <w:bottom w:val="nil"/>
              <w:right w:val="single" w:sz="8" w:space="0" w:color="auto"/>
            </w:tcBorders>
            <w:vAlign w:val="center"/>
          </w:tcPr>
          <w:p w14:paraId="737D3A5D" w14:textId="39468A60" w:rsidR="00E57BF4" w:rsidRPr="00830D25" w:rsidRDefault="00E57BF4" w:rsidP="00E57BF4">
            <w:pPr>
              <w:spacing w:after="0"/>
              <w:jc w:val="center"/>
              <w:rPr>
                <w:rFonts w:eastAsia="Times New Roman"/>
                <w:color w:val="000000" w:themeColor="text1"/>
                <w:sz w:val="20"/>
                <w:lang w:eastAsia="en-GB"/>
              </w:rPr>
            </w:pPr>
            <w:r w:rsidRPr="00677421">
              <w:rPr>
                <w:sz w:val="20"/>
              </w:rPr>
              <w:t>11.2%</w:t>
            </w:r>
          </w:p>
        </w:tc>
        <w:tc>
          <w:tcPr>
            <w:tcW w:w="1510" w:type="dxa"/>
            <w:tcBorders>
              <w:top w:val="nil"/>
              <w:left w:val="nil"/>
              <w:bottom w:val="nil"/>
              <w:right w:val="single" w:sz="8" w:space="0" w:color="auto"/>
            </w:tcBorders>
            <w:vAlign w:val="center"/>
          </w:tcPr>
          <w:p w14:paraId="2634E8F7" w14:textId="7FC0D517" w:rsidR="00E57BF4" w:rsidRPr="00830D25" w:rsidRDefault="00E57BF4" w:rsidP="00E57BF4">
            <w:pPr>
              <w:spacing w:after="0"/>
              <w:jc w:val="center"/>
              <w:rPr>
                <w:rFonts w:eastAsia="Times New Roman"/>
                <w:color w:val="000000" w:themeColor="text1"/>
                <w:sz w:val="20"/>
                <w:lang w:eastAsia="en-GB"/>
              </w:rPr>
            </w:pPr>
            <w:r w:rsidRPr="00677421">
              <w:rPr>
                <w:sz w:val="20"/>
              </w:rPr>
              <w:t>80.5%</w:t>
            </w:r>
          </w:p>
        </w:tc>
      </w:tr>
      <w:tr w:rsidR="00E57BF4" w:rsidRPr="00BF23A7" w14:paraId="4A7E74D3" w14:textId="56DA03DA" w:rsidTr="00E57BF4">
        <w:trPr>
          <w:trHeight w:val="300"/>
        </w:trPr>
        <w:tc>
          <w:tcPr>
            <w:tcW w:w="2835" w:type="dxa"/>
            <w:tcBorders>
              <w:top w:val="nil"/>
              <w:left w:val="single" w:sz="8" w:space="0" w:color="auto"/>
              <w:bottom w:val="nil"/>
              <w:right w:val="single" w:sz="8" w:space="0" w:color="auto"/>
            </w:tcBorders>
            <w:shd w:val="clear" w:color="auto" w:fill="auto"/>
            <w:vAlign w:val="center"/>
            <w:hideMark/>
          </w:tcPr>
          <w:p w14:paraId="035083A4" w14:textId="780902C2" w:rsidR="00E57BF4" w:rsidRPr="00830D25" w:rsidRDefault="00E57BF4" w:rsidP="00E57BF4">
            <w:pPr>
              <w:spacing w:after="0"/>
              <w:rPr>
                <w:rFonts w:eastAsia="Times New Roman"/>
                <w:color w:val="000000" w:themeColor="text1"/>
                <w:sz w:val="20"/>
                <w:lang w:eastAsia="en-GB"/>
              </w:rPr>
            </w:pPr>
            <w:r w:rsidRPr="00011E55">
              <w:rPr>
                <w:rFonts w:eastAsia="Times New Roman"/>
                <w:color w:val="000000"/>
                <w:sz w:val="20"/>
                <w:lang w:eastAsia="en-GB"/>
              </w:rPr>
              <w:t>London</w:t>
            </w:r>
          </w:p>
        </w:tc>
        <w:tc>
          <w:tcPr>
            <w:tcW w:w="1509" w:type="dxa"/>
            <w:tcBorders>
              <w:top w:val="nil"/>
              <w:left w:val="nil"/>
              <w:bottom w:val="nil"/>
              <w:right w:val="single" w:sz="8" w:space="0" w:color="auto"/>
            </w:tcBorders>
            <w:vAlign w:val="center"/>
          </w:tcPr>
          <w:p w14:paraId="42D6EE3D" w14:textId="1BC79F9D" w:rsidR="00E57BF4" w:rsidRPr="00830D25" w:rsidRDefault="00E57BF4" w:rsidP="00E57BF4">
            <w:pPr>
              <w:spacing w:after="0"/>
              <w:jc w:val="center"/>
              <w:rPr>
                <w:rFonts w:eastAsia="Times New Roman"/>
                <w:color w:val="000000" w:themeColor="text1"/>
                <w:sz w:val="20"/>
                <w:lang w:eastAsia="en-GB"/>
              </w:rPr>
            </w:pPr>
            <w:r w:rsidRPr="00677421">
              <w:rPr>
                <w:sz w:val="20"/>
              </w:rPr>
              <w:t>30.6%</w:t>
            </w:r>
          </w:p>
        </w:tc>
        <w:tc>
          <w:tcPr>
            <w:tcW w:w="1510" w:type="dxa"/>
            <w:tcBorders>
              <w:top w:val="nil"/>
              <w:left w:val="nil"/>
              <w:bottom w:val="nil"/>
              <w:right w:val="single" w:sz="8" w:space="0" w:color="auto"/>
            </w:tcBorders>
            <w:vAlign w:val="center"/>
          </w:tcPr>
          <w:p w14:paraId="6786EA27" w14:textId="29FE7103" w:rsidR="00E57BF4" w:rsidRPr="00830D25" w:rsidRDefault="00E57BF4" w:rsidP="00E57BF4">
            <w:pPr>
              <w:spacing w:after="0"/>
              <w:jc w:val="center"/>
              <w:rPr>
                <w:rFonts w:eastAsia="Times New Roman"/>
                <w:color w:val="000000" w:themeColor="text1"/>
                <w:sz w:val="20"/>
                <w:lang w:eastAsia="en-GB"/>
              </w:rPr>
            </w:pPr>
            <w:r w:rsidRPr="00677421">
              <w:rPr>
                <w:sz w:val="20"/>
              </w:rPr>
              <w:t>56.8%</w:t>
            </w:r>
          </w:p>
        </w:tc>
        <w:tc>
          <w:tcPr>
            <w:tcW w:w="1510" w:type="dxa"/>
            <w:tcBorders>
              <w:top w:val="nil"/>
              <w:left w:val="nil"/>
              <w:bottom w:val="nil"/>
              <w:right w:val="single" w:sz="8" w:space="0" w:color="auto"/>
            </w:tcBorders>
            <w:vAlign w:val="center"/>
          </w:tcPr>
          <w:p w14:paraId="04D29DE9" w14:textId="0772C8CE" w:rsidR="00E57BF4" w:rsidRPr="00830D25" w:rsidRDefault="00E57BF4" w:rsidP="00E57BF4">
            <w:pPr>
              <w:spacing w:after="0"/>
              <w:jc w:val="center"/>
              <w:rPr>
                <w:rFonts w:eastAsia="Times New Roman"/>
                <w:color w:val="000000" w:themeColor="text1"/>
                <w:sz w:val="20"/>
                <w:lang w:eastAsia="en-GB"/>
              </w:rPr>
            </w:pPr>
            <w:r w:rsidRPr="00677421">
              <w:rPr>
                <w:sz w:val="20"/>
              </w:rPr>
              <w:t>12.6%</w:t>
            </w:r>
          </w:p>
        </w:tc>
        <w:tc>
          <w:tcPr>
            <w:tcW w:w="1510" w:type="dxa"/>
            <w:tcBorders>
              <w:top w:val="nil"/>
              <w:left w:val="nil"/>
              <w:bottom w:val="nil"/>
              <w:right w:val="single" w:sz="8" w:space="0" w:color="auto"/>
            </w:tcBorders>
            <w:vAlign w:val="center"/>
          </w:tcPr>
          <w:p w14:paraId="1F00B3B6" w14:textId="3E579825" w:rsidR="00E57BF4" w:rsidRPr="00830D25" w:rsidRDefault="00E57BF4" w:rsidP="00E57BF4">
            <w:pPr>
              <w:spacing w:after="0"/>
              <w:jc w:val="center"/>
              <w:rPr>
                <w:rFonts w:eastAsia="Times New Roman"/>
                <w:color w:val="000000" w:themeColor="text1"/>
                <w:sz w:val="20"/>
                <w:lang w:eastAsia="en-GB"/>
              </w:rPr>
            </w:pPr>
            <w:r w:rsidRPr="00677421">
              <w:rPr>
                <w:sz w:val="20"/>
              </w:rPr>
              <w:t>69.4%</w:t>
            </w:r>
          </w:p>
        </w:tc>
      </w:tr>
      <w:tr w:rsidR="00E57BF4" w:rsidRPr="00BF23A7" w14:paraId="13FDEE58" w14:textId="78FB0C34" w:rsidTr="00E57BF4">
        <w:trPr>
          <w:trHeight w:val="300"/>
        </w:trPr>
        <w:tc>
          <w:tcPr>
            <w:tcW w:w="2835" w:type="dxa"/>
            <w:tcBorders>
              <w:top w:val="nil"/>
              <w:left w:val="single" w:sz="8" w:space="0" w:color="auto"/>
              <w:bottom w:val="nil"/>
              <w:right w:val="single" w:sz="8" w:space="0" w:color="auto"/>
            </w:tcBorders>
            <w:shd w:val="clear" w:color="auto" w:fill="auto"/>
            <w:vAlign w:val="center"/>
            <w:hideMark/>
          </w:tcPr>
          <w:p w14:paraId="7054AB40" w14:textId="2E7E2A77" w:rsidR="00E57BF4" w:rsidRPr="00830D25" w:rsidRDefault="00E57BF4" w:rsidP="00E57BF4">
            <w:pPr>
              <w:spacing w:after="0"/>
              <w:rPr>
                <w:rFonts w:eastAsia="Times New Roman"/>
                <w:color w:val="000000" w:themeColor="text1"/>
                <w:sz w:val="20"/>
                <w:lang w:eastAsia="en-GB"/>
              </w:rPr>
            </w:pPr>
            <w:r w:rsidRPr="00011E55">
              <w:rPr>
                <w:rFonts w:eastAsia="Times New Roman"/>
                <w:color w:val="000000"/>
                <w:sz w:val="20"/>
                <w:lang w:eastAsia="en-GB"/>
              </w:rPr>
              <w:t>East Midlands</w:t>
            </w:r>
          </w:p>
        </w:tc>
        <w:tc>
          <w:tcPr>
            <w:tcW w:w="1509" w:type="dxa"/>
            <w:tcBorders>
              <w:top w:val="nil"/>
              <w:left w:val="nil"/>
              <w:bottom w:val="nil"/>
              <w:right w:val="single" w:sz="8" w:space="0" w:color="auto"/>
            </w:tcBorders>
            <w:vAlign w:val="center"/>
          </w:tcPr>
          <w:p w14:paraId="7B3AA5F7" w14:textId="7AED6300" w:rsidR="00E57BF4" w:rsidRPr="00830D25" w:rsidRDefault="00E57BF4" w:rsidP="00E57BF4">
            <w:pPr>
              <w:spacing w:after="0"/>
              <w:jc w:val="center"/>
              <w:rPr>
                <w:rFonts w:eastAsia="Times New Roman"/>
                <w:color w:val="000000" w:themeColor="text1"/>
                <w:sz w:val="20"/>
                <w:lang w:eastAsia="en-GB"/>
              </w:rPr>
            </w:pPr>
            <w:r w:rsidRPr="00677421">
              <w:rPr>
                <w:sz w:val="20"/>
              </w:rPr>
              <w:t>23.9%</w:t>
            </w:r>
          </w:p>
        </w:tc>
        <w:tc>
          <w:tcPr>
            <w:tcW w:w="1510" w:type="dxa"/>
            <w:tcBorders>
              <w:top w:val="nil"/>
              <w:left w:val="nil"/>
              <w:bottom w:val="nil"/>
              <w:right w:val="single" w:sz="8" w:space="0" w:color="auto"/>
            </w:tcBorders>
            <w:vAlign w:val="center"/>
          </w:tcPr>
          <w:p w14:paraId="334C475F" w14:textId="7C8462E2" w:rsidR="00E57BF4" w:rsidRPr="00830D25" w:rsidRDefault="00E57BF4" w:rsidP="00E57BF4">
            <w:pPr>
              <w:spacing w:after="0"/>
              <w:jc w:val="center"/>
              <w:rPr>
                <w:rFonts w:eastAsia="Times New Roman"/>
                <w:color w:val="000000" w:themeColor="text1"/>
                <w:sz w:val="20"/>
                <w:lang w:eastAsia="en-GB"/>
              </w:rPr>
            </w:pPr>
            <w:r w:rsidRPr="00677421">
              <w:rPr>
                <w:sz w:val="20"/>
              </w:rPr>
              <w:t>65.3%</w:t>
            </w:r>
          </w:p>
        </w:tc>
        <w:tc>
          <w:tcPr>
            <w:tcW w:w="1510" w:type="dxa"/>
            <w:tcBorders>
              <w:top w:val="nil"/>
              <w:left w:val="nil"/>
              <w:bottom w:val="nil"/>
              <w:right w:val="single" w:sz="8" w:space="0" w:color="auto"/>
            </w:tcBorders>
            <w:vAlign w:val="center"/>
          </w:tcPr>
          <w:p w14:paraId="521024D8" w14:textId="0E3B9BA3" w:rsidR="00E57BF4" w:rsidRPr="00830D25" w:rsidRDefault="00E57BF4" w:rsidP="00E57BF4">
            <w:pPr>
              <w:spacing w:after="0"/>
              <w:jc w:val="center"/>
              <w:rPr>
                <w:rFonts w:eastAsia="Times New Roman"/>
                <w:color w:val="000000" w:themeColor="text1"/>
                <w:sz w:val="20"/>
                <w:lang w:eastAsia="en-GB"/>
              </w:rPr>
            </w:pPr>
            <w:r w:rsidRPr="00677421">
              <w:rPr>
                <w:sz w:val="20"/>
              </w:rPr>
              <w:t>10.8%</w:t>
            </w:r>
          </w:p>
        </w:tc>
        <w:tc>
          <w:tcPr>
            <w:tcW w:w="1510" w:type="dxa"/>
            <w:tcBorders>
              <w:top w:val="nil"/>
              <w:left w:val="nil"/>
              <w:bottom w:val="nil"/>
              <w:right w:val="single" w:sz="8" w:space="0" w:color="auto"/>
            </w:tcBorders>
            <w:vAlign w:val="center"/>
          </w:tcPr>
          <w:p w14:paraId="50625958" w14:textId="50460C73" w:rsidR="00E57BF4" w:rsidRPr="00830D25" w:rsidRDefault="00E57BF4" w:rsidP="00E57BF4">
            <w:pPr>
              <w:spacing w:after="0"/>
              <w:jc w:val="center"/>
              <w:rPr>
                <w:rFonts w:eastAsia="Times New Roman"/>
                <w:color w:val="000000" w:themeColor="text1"/>
                <w:sz w:val="20"/>
                <w:lang w:eastAsia="en-GB"/>
              </w:rPr>
            </w:pPr>
            <w:r w:rsidRPr="00677421">
              <w:rPr>
                <w:sz w:val="20"/>
              </w:rPr>
              <w:t>76.2%</w:t>
            </w:r>
          </w:p>
        </w:tc>
      </w:tr>
      <w:tr w:rsidR="00E57BF4" w:rsidRPr="00BF23A7" w14:paraId="02859452" w14:textId="680A6DDE" w:rsidTr="00E57BF4">
        <w:trPr>
          <w:trHeight w:val="300"/>
        </w:trPr>
        <w:tc>
          <w:tcPr>
            <w:tcW w:w="2835" w:type="dxa"/>
            <w:tcBorders>
              <w:top w:val="nil"/>
              <w:left w:val="single" w:sz="8" w:space="0" w:color="auto"/>
              <w:bottom w:val="nil"/>
              <w:right w:val="single" w:sz="8" w:space="0" w:color="auto"/>
            </w:tcBorders>
            <w:shd w:val="clear" w:color="auto" w:fill="auto"/>
            <w:vAlign w:val="center"/>
            <w:hideMark/>
          </w:tcPr>
          <w:p w14:paraId="0FAD51F4" w14:textId="21B4A1EA" w:rsidR="00E57BF4" w:rsidRPr="00830D25" w:rsidRDefault="00E57BF4" w:rsidP="00E57BF4">
            <w:pPr>
              <w:spacing w:after="0"/>
              <w:rPr>
                <w:rFonts w:eastAsia="Times New Roman"/>
                <w:color w:val="000000" w:themeColor="text1"/>
                <w:sz w:val="20"/>
                <w:lang w:eastAsia="en-GB"/>
              </w:rPr>
            </w:pPr>
            <w:r w:rsidRPr="00011E55">
              <w:rPr>
                <w:rFonts w:eastAsia="Times New Roman"/>
                <w:color w:val="000000"/>
                <w:sz w:val="20"/>
                <w:lang w:eastAsia="en-GB"/>
              </w:rPr>
              <w:t>West Midlands</w:t>
            </w:r>
          </w:p>
        </w:tc>
        <w:tc>
          <w:tcPr>
            <w:tcW w:w="1509" w:type="dxa"/>
            <w:tcBorders>
              <w:top w:val="nil"/>
              <w:left w:val="nil"/>
              <w:bottom w:val="nil"/>
              <w:right w:val="single" w:sz="8" w:space="0" w:color="auto"/>
            </w:tcBorders>
            <w:vAlign w:val="center"/>
          </w:tcPr>
          <w:p w14:paraId="072DC906" w14:textId="031305CB" w:rsidR="00E57BF4" w:rsidRPr="00830D25" w:rsidRDefault="00E57BF4" w:rsidP="00E57BF4">
            <w:pPr>
              <w:spacing w:after="0"/>
              <w:jc w:val="center"/>
              <w:rPr>
                <w:rFonts w:eastAsia="Times New Roman"/>
                <w:color w:val="000000" w:themeColor="text1"/>
                <w:sz w:val="20"/>
                <w:lang w:eastAsia="en-GB"/>
              </w:rPr>
            </w:pPr>
            <w:r w:rsidRPr="00677421">
              <w:rPr>
                <w:sz w:val="20"/>
              </w:rPr>
              <w:t>23.4%</w:t>
            </w:r>
          </w:p>
        </w:tc>
        <w:tc>
          <w:tcPr>
            <w:tcW w:w="1510" w:type="dxa"/>
            <w:tcBorders>
              <w:top w:val="nil"/>
              <w:left w:val="nil"/>
              <w:bottom w:val="nil"/>
              <w:right w:val="single" w:sz="8" w:space="0" w:color="auto"/>
            </w:tcBorders>
            <w:vAlign w:val="center"/>
          </w:tcPr>
          <w:p w14:paraId="06DACA05" w14:textId="0E4A5FC9" w:rsidR="00E57BF4" w:rsidRPr="00830D25" w:rsidRDefault="00E57BF4" w:rsidP="00E57BF4">
            <w:pPr>
              <w:spacing w:after="0"/>
              <w:jc w:val="center"/>
              <w:rPr>
                <w:rFonts w:eastAsia="Times New Roman"/>
                <w:color w:val="000000" w:themeColor="text1"/>
                <w:sz w:val="20"/>
                <w:lang w:eastAsia="en-GB"/>
              </w:rPr>
            </w:pPr>
            <w:r w:rsidRPr="00677421">
              <w:rPr>
                <w:sz w:val="20"/>
              </w:rPr>
              <w:t>66.1%</w:t>
            </w:r>
          </w:p>
        </w:tc>
        <w:tc>
          <w:tcPr>
            <w:tcW w:w="1510" w:type="dxa"/>
            <w:tcBorders>
              <w:top w:val="nil"/>
              <w:left w:val="nil"/>
              <w:bottom w:val="nil"/>
              <w:right w:val="single" w:sz="8" w:space="0" w:color="auto"/>
            </w:tcBorders>
            <w:vAlign w:val="center"/>
          </w:tcPr>
          <w:p w14:paraId="7325C2E0" w14:textId="54A9929F" w:rsidR="00E57BF4" w:rsidRPr="00830D25" w:rsidRDefault="00E57BF4" w:rsidP="00E57BF4">
            <w:pPr>
              <w:spacing w:after="0"/>
              <w:jc w:val="center"/>
              <w:rPr>
                <w:rFonts w:eastAsia="Times New Roman"/>
                <w:color w:val="000000" w:themeColor="text1"/>
                <w:sz w:val="20"/>
                <w:lang w:eastAsia="en-GB"/>
              </w:rPr>
            </w:pPr>
            <w:r w:rsidRPr="00677421">
              <w:rPr>
                <w:sz w:val="20"/>
              </w:rPr>
              <w:t>10.5%</w:t>
            </w:r>
          </w:p>
        </w:tc>
        <w:tc>
          <w:tcPr>
            <w:tcW w:w="1510" w:type="dxa"/>
            <w:tcBorders>
              <w:top w:val="nil"/>
              <w:left w:val="nil"/>
              <w:bottom w:val="nil"/>
              <w:right w:val="single" w:sz="8" w:space="0" w:color="auto"/>
            </w:tcBorders>
            <w:vAlign w:val="center"/>
          </w:tcPr>
          <w:p w14:paraId="0AB1F46E" w14:textId="00D60356" w:rsidR="00E57BF4" w:rsidRPr="00830D25" w:rsidRDefault="00E57BF4" w:rsidP="00E57BF4">
            <w:pPr>
              <w:spacing w:after="0"/>
              <w:jc w:val="center"/>
              <w:rPr>
                <w:rFonts w:eastAsia="Times New Roman"/>
                <w:color w:val="000000" w:themeColor="text1"/>
                <w:sz w:val="20"/>
                <w:lang w:eastAsia="en-GB"/>
              </w:rPr>
            </w:pPr>
            <w:r w:rsidRPr="00677421">
              <w:rPr>
                <w:sz w:val="20"/>
              </w:rPr>
              <w:t>76.6%</w:t>
            </w:r>
          </w:p>
        </w:tc>
      </w:tr>
      <w:tr w:rsidR="00E57BF4" w:rsidRPr="00BF23A7" w14:paraId="24116FE8" w14:textId="67FAC68C" w:rsidTr="00E57BF4">
        <w:trPr>
          <w:trHeight w:val="300"/>
        </w:trPr>
        <w:tc>
          <w:tcPr>
            <w:tcW w:w="2835" w:type="dxa"/>
            <w:tcBorders>
              <w:top w:val="nil"/>
              <w:left w:val="single" w:sz="8" w:space="0" w:color="auto"/>
              <w:bottom w:val="nil"/>
              <w:right w:val="single" w:sz="8" w:space="0" w:color="auto"/>
            </w:tcBorders>
            <w:shd w:val="clear" w:color="auto" w:fill="auto"/>
            <w:vAlign w:val="center"/>
            <w:hideMark/>
          </w:tcPr>
          <w:p w14:paraId="5997B68C" w14:textId="265E8D5A" w:rsidR="00E57BF4" w:rsidRPr="00830D25" w:rsidRDefault="00E57BF4" w:rsidP="00E57BF4">
            <w:pPr>
              <w:spacing w:after="0"/>
              <w:rPr>
                <w:rFonts w:eastAsia="Times New Roman"/>
                <w:color w:val="000000" w:themeColor="text1"/>
                <w:sz w:val="20"/>
                <w:lang w:eastAsia="en-GB"/>
              </w:rPr>
            </w:pPr>
            <w:r w:rsidRPr="00011E55">
              <w:rPr>
                <w:rFonts w:eastAsia="Times New Roman"/>
                <w:color w:val="000000"/>
                <w:sz w:val="20"/>
                <w:lang w:eastAsia="en-GB"/>
              </w:rPr>
              <w:t>Yorkshire and the Humber</w:t>
            </w:r>
          </w:p>
        </w:tc>
        <w:tc>
          <w:tcPr>
            <w:tcW w:w="1509" w:type="dxa"/>
            <w:tcBorders>
              <w:top w:val="nil"/>
              <w:left w:val="nil"/>
              <w:bottom w:val="nil"/>
              <w:right w:val="single" w:sz="8" w:space="0" w:color="auto"/>
            </w:tcBorders>
            <w:vAlign w:val="center"/>
          </w:tcPr>
          <w:p w14:paraId="2C4311DF" w14:textId="7CFEC5AF" w:rsidR="00E57BF4" w:rsidRPr="00830D25" w:rsidRDefault="00E57BF4" w:rsidP="00E57BF4">
            <w:pPr>
              <w:spacing w:after="0"/>
              <w:jc w:val="center"/>
              <w:rPr>
                <w:rFonts w:eastAsia="Times New Roman"/>
                <w:color w:val="000000" w:themeColor="text1"/>
                <w:sz w:val="20"/>
                <w:lang w:eastAsia="en-GB"/>
              </w:rPr>
            </w:pPr>
            <w:r w:rsidRPr="00677421">
              <w:rPr>
                <w:sz w:val="20"/>
              </w:rPr>
              <w:t>20.1%</w:t>
            </w:r>
          </w:p>
        </w:tc>
        <w:tc>
          <w:tcPr>
            <w:tcW w:w="1510" w:type="dxa"/>
            <w:tcBorders>
              <w:top w:val="nil"/>
              <w:left w:val="nil"/>
              <w:bottom w:val="nil"/>
              <w:right w:val="single" w:sz="8" w:space="0" w:color="auto"/>
            </w:tcBorders>
            <w:vAlign w:val="center"/>
          </w:tcPr>
          <w:p w14:paraId="0F89B24E" w14:textId="0252AAD2" w:rsidR="00E57BF4" w:rsidRPr="00830D25" w:rsidRDefault="00E57BF4" w:rsidP="00E57BF4">
            <w:pPr>
              <w:spacing w:after="0"/>
              <w:jc w:val="center"/>
              <w:rPr>
                <w:rFonts w:eastAsia="Times New Roman"/>
                <w:color w:val="000000" w:themeColor="text1"/>
                <w:sz w:val="20"/>
                <w:lang w:eastAsia="en-GB"/>
              </w:rPr>
            </w:pPr>
            <w:r w:rsidRPr="00677421">
              <w:rPr>
                <w:sz w:val="20"/>
              </w:rPr>
              <w:t>68.8%</w:t>
            </w:r>
          </w:p>
        </w:tc>
        <w:tc>
          <w:tcPr>
            <w:tcW w:w="1510" w:type="dxa"/>
            <w:tcBorders>
              <w:top w:val="nil"/>
              <w:left w:val="nil"/>
              <w:bottom w:val="nil"/>
              <w:right w:val="single" w:sz="8" w:space="0" w:color="auto"/>
            </w:tcBorders>
            <w:vAlign w:val="center"/>
          </w:tcPr>
          <w:p w14:paraId="1A9FD79B" w14:textId="37C7F7FA" w:rsidR="00E57BF4" w:rsidRPr="00830D25" w:rsidRDefault="00E57BF4" w:rsidP="00E57BF4">
            <w:pPr>
              <w:spacing w:after="0"/>
              <w:jc w:val="center"/>
              <w:rPr>
                <w:rFonts w:eastAsia="Times New Roman"/>
                <w:color w:val="000000" w:themeColor="text1"/>
                <w:sz w:val="20"/>
                <w:lang w:eastAsia="en-GB"/>
              </w:rPr>
            </w:pPr>
            <w:r w:rsidRPr="00677421">
              <w:rPr>
                <w:sz w:val="20"/>
              </w:rPr>
              <w:t>11.1%</w:t>
            </w:r>
          </w:p>
        </w:tc>
        <w:tc>
          <w:tcPr>
            <w:tcW w:w="1510" w:type="dxa"/>
            <w:tcBorders>
              <w:top w:val="nil"/>
              <w:left w:val="nil"/>
              <w:bottom w:val="nil"/>
              <w:right w:val="single" w:sz="8" w:space="0" w:color="auto"/>
            </w:tcBorders>
            <w:vAlign w:val="center"/>
          </w:tcPr>
          <w:p w14:paraId="011F1A9F" w14:textId="269E52A0" w:rsidR="00E57BF4" w:rsidRPr="00830D25" w:rsidRDefault="00E57BF4" w:rsidP="00E57BF4">
            <w:pPr>
              <w:spacing w:after="0"/>
              <w:jc w:val="center"/>
              <w:rPr>
                <w:rFonts w:eastAsia="Times New Roman"/>
                <w:color w:val="000000" w:themeColor="text1"/>
                <w:sz w:val="20"/>
                <w:lang w:eastAsia="en-GB"/>
              </w:rPr>
            </w:pPr>
            <w:r w:rsidRPr="00677421">
              <w:rPr>
                <w:sz w:val="20"/>
              </w:rPr>
              <w:t>79.9%</w:t>
            </w:r>
          </w:p>
        </w:tc>
      </w:tr>
      <w:tr w:rsidR="00E57BF4" w:rsidRPr="00BF23A7" w14:paraId="64649F96" w14:textId="214CF9EA" w:rsidTr="00E57BF4">
        <w:trPr>
          <w:trHeight w:val="300"/>
        </w:trPr>
        <w:tc>
          <w:tcPr>
            <w:tcW w:w="2835" w:type="dxa"/>
            <w:tcBorders>
              <w:top w:val="nil"/>
              <w:left w:val="single" w:sz="8" w:space="0" w:color="auto"/>
              <w:bottom w:val="nil"/>
              <w:right w:val="single" w:sz="8" w:space="0" w:color="auto"/>
            </w:tcBorders>
            <w:shd w:val="clear" w:color="auto" w:fill="auto"/>
            <w:vAlign w:val="center"/>
            <w:hideMark/>
          </w:tcPr>
          <w:p w14:paraId="4BFECD3B" w14:textId="4FC8B4E8" w:rsidR="00E57BF4" w:rsidRPr="00830D25" w:rsidRDefault="00E57BF4" w:rsidP="00E57BF4">
            <w:pPr>
              <w:spacing w:after="0"/>
              <w:rPr>
                <w:rFonts w:eastAsia="Times New Roman"/>
                <w:color w:val="000000" w:themeColor="text1"/>
                <w:sz w:val="20"/>
                <w:lang w:eastAsia="en-GB"/>
              </w:rPr>
            </w:pPr>
            <w:proofErr w:type="gramStart"/>
            <w:r w:rsidRPr="00011E55">
              <w:rPr>
                <w:rFonts w:eastAsia="Times New Roman"/>
                <w:color w:val="000000"/>
                <w:sz w:val="20"/>
                <w:lang w:eastAsia="en-GB"/>
              </w:rPr>
              <w:t>North East</w:t>
            </w:r>
            <w:proofErr w:type="gramEnd"/>
          </w:p>
        </w:tc>
        <w:tc>
          <w:tcPr>
            <w:tcW w:w="1509" w:type="dxa"/>
            <w:tcBorders>
              <w:top w:val="nil"/>
              <w:left w:val="nil"/>
              <w:bottom w:val="nil"/>
              <w:right w:val="single" w:sz="8" w:space="0" w:color="auto"/>
            </w:tcBorders>
            <w:vAlign w:val="center"/>
          </w:tcPr>
          <w:p w14:paraId="091421E2" w14:textId="2873C625" w:rsidR="00E57BF4" w:rsidRPr="00830D25" w:rsidRDefault="00E57BF4" w:rsidP="00E57BF4">
            <w:pPr>
              <w:spacing w:after="0"/>
              <w:jc w:val="center"/>
              <w:rPr>
                <w:rFonts w:eastAsia="Times New Roman"/>
                <w:color w:val="000000" w:themeColor="text1"/>
                <w:sz w:val="20"/>
                <w:lang w:eastAsia="en-GB"/>
              </w:rPr>
            </w:pPr>
            <w:r w:rsidRPr="00677421">
              <w:rPr>
                <w:sz w:val="20"/>
              </w:rPr>
              <w:t>15.5%</w:t>
            </w:r>
          </w:p>
        </w:tc>
        <w:tc>
          <w:tcPr>
            <w:tcW w:w="1510" w:type="dxa"/>
            <w:tcBorders>
              <w:top w:val="nil"/>
              <w:left w:val="nil"/>
              <w:bottom w:val="nil"/>
              <w:right w:val="single" w:sz="8" w:space="0" w:color="auto"/>
            </w:tcBorders>
            <w:vAlign w:val="center"/>
          </w:tcPr>
          <w:p w14:paraId="3D7CBC80" w14:textId="1F941CF4" w:rsidR="00E57BF4" w:rsidRPr="00830D25" w:rsidRDefault="00E57BF4" w:rsidP="00E57BF4">
            <w:pPr>
              <w:spacing w:after="0"/>
              <w:jc w:val="center"/>
              <w:rPr>
                <w:rFonts w:eastAsia="Times New Roman"/>
                <w:color w:val="000000" w:themeColor="text1"/>
                <w:sz w:val="20"/>
                <w:lang w:eastAsia="en-GB"/>
              </w:rPr>
            </w:pPr>
            <w:r w:rsidRPr="00677421">
              <w:rPr>
                <w:sz w:val="20"/>
              </w:rPr>
              <w:t>74.7%</w:t>
            </w:r>
          </w:p>
        </w:tc>
        <w:tc>
          <w:tcPr>
            <w:tcW w:w="1510" w:type="dxa"/>
            <w:tcBorders>
              <w:top w:val="nil"/>
              <w:left w:val="nil"/>
              <w:bottom w:val="nil"/>
              <w:right w:val="single" w:sz="8" w:space="0" w:color="auto"/>
            </w:tcBorders>
            <w:vAlign w:val="center"/>
          </w:tcPr>
          <w:p w14:paraId="211C49AC" w14:textId="57F8D30C" w:rsidR="00E57BF4" w:rsidRPr="00830D25" w:rsidRDefault="00E57BF4" w:rsidP="00E57BF4">
            <w:pPr>
              <w:spacing w:after="0"/>
              <w:jc w:val="center"/>
              <w:rPr>
                <w:rFonts w:eastAsia="Times New Roman"/>
                <w:color w:val="000000" w:themeColor="text1"/>
                <w:sz w:val="20"/>
                <w:lang w:eastAsia="en-GB"/>
              </w:rPr>
            </w:pPr>
            <w:r w:rsidRPr="00677421">
              <w:rPr>
                <w:sz w:val="20"/>
              </w:rPr>
              <w:t>9.9%</w:t>
            </w:r>
          </w:p>
        </w:tc>
        <w:tc>
          <w:tcPr>
            <w:tcW w:w="1510" w:type="dxa"/>
            <w:tcBorders>
              <w:top w:val="nil"/>
              <w:left w:val="nil"/>
              <w:bottom w:val="nil"/>
              <w:right w:val="single" w:sz="8" w:space="0" w:color="auto"/>
            </w:tcBorders>
            <w:vAlign w:val="center"/>
          </w:tcPr>
          <w:p w14:paraId="55430B49" w14:textId="5032238F" w:rsidR="00E57BF4" w:rsidRPr="00830D25" w:rsidRDefault="00E57BF4" w:rsidP="00E57BF4">
            <w:pPr>
              <w:spacing w:after="0"/>
              <w:jc w:val="center"/>
              <w:rPr>
                <w:rFonts w:eastAsia="Times New Roman"/>
                <w:color w:val="000000" w:themeColor="text1"/>
                <w:sz w:val="20"/>
                <w:lang w:eastAsia="en-GB"/>
              </w:rPr>
            </w:pPr>
            <w:r w:rsidRPr="00677421">
              <w:rPr>
                <w:sz w:val="20"/>
              </w:rPr>
              <w:t>84.5%</w:t>
            </w:r>
          </w:p>
        </w:tc>
      </w:tr>
      <w:tr w:rsidR="00E57BF4" w:rsidRPr="00BF23A7" w14:paraId="2DBE8F05" w14:textId="0814CFC5" w:rsidTr="00E57BF4">
        <w:trPr>
          <w:trHeight w:val="300"/>
        </w:trPr>
        <w:tc>
          <w:tcPr>
            <w:tcW w:w="2835" w:type="dxa"/>
            <w:tcBorders>
              <w:top w:val="nil"/>
              <w:left w:val="single" w:sz="8" w:space="0" w:color="auto"/>
              <w:bottom w:val="nil"/>
              <w:right w:val="single" w:sz="8" w:space="0" w:color="auto"/>
            </w:tcBorders>
            <w:shd w:val="clear" w:color="auto" w:fill="auto"/>
            <w:vAlign w:val="center"/>
          </w:tcPr>
          <w:p w14:paraId="2B9D9D05" w14:textId="2734C7D9" w:rsidR="00E57BF4" w:rsidRPr="00011E55" w:rsidRDefault="00E57BF4" w:rsidP="00E57BF4">
            <w:pPr>
              <w:spacing w:after="0"/>
              <w:rPr>
                <w:rFonts w:eastAsia="Times New Roman"/>
                <w:color w:val="000000"/>
                <w:sz w:val="20"/>
                <w:lang w:eastAsia="en-GB"/>
              </w:rPr>
            </w:pPr>
            <w:proofErr w:type="gramStart"/>
            <w:r w:rsidRPr="00011E55">
              <w:rPr>
                <w:rFonts w:eastAsia="Times New Roman"/>
                <w:color w:val="000000"/>
                <w:sz w:val="20"/>
                <w:lang w:eastAsia="en-GB"/>
              </w:rPr>
              <w:t>North West</w:t>
            </w:r>
            <w:proofErr w:type="gramEnd"/>
          </w:p>
        </w:tc>
        <w:tc>
          <w:tcPr>
            <w:tcW w:w="1509" w:type="dxa"/>
            <w:tcBorders>
              <w:top w:val="nil"/>
              <w:left w:val="nil"/>
              <w:bottom w:val="nil"/>
              <w:right w:val="single" w:sz="8" w:space="0" w:color="auto"/>
            </w:tcBorders>
            <w:vAlign w:val="center"/>
          </w:tcPr>
          <w:p w14:paraId="589D832F" w14:textId="6B5366CC" w:rsidR="00E57BF4" w:rsidRPr="00830D25" w:rsidRDefault="00E57BF4" w:rsidP="00E57BF4">
            <w:pPr>
              <w:spacing w:after="0"/>
              <w:jc w:val="center"/>
              <w:rPr>
                <w:rFonts w:eastAsia="Times New Roman"/>
                <w:color w:val="000000" w:themeColor="text1"/>
                <w:sz w:val="20"/>
                <w:lang w:eastAsia="en-GB"/>
              </w:rPr>
            </w:pPr>
            <w:r w:rsidRPr="00677421">
              <w:rPr>
                <w:sz w:val="20"/>
              </w:rPr>
              <w:t>17.0%</w:t>
            </w:r>
          </w:p>
        </w:tc>
        <w:tc>
          <w:tcPr>
            <w:tcW w:w="1510" w:type="dxa"/>
            <w:tcBorders>
              <w:top w:val="nil"/>
              <w:left w:val="nil"/>
              <w:bottom w:val="nil"/>
              <w:right w:val="single" w:sz="8" w:space="0" w:color="auto"/>
            </w:tcBorders>
            <w:vAlign w:val="center"/>
          </w:tcPr>
          <w:p w14:paraId="566C5903" w14:textId="5FF50ABE" w:rsidR="00E57BF4" w:rsidRPr="00830D25" w:rsidRDefault="00E57BF4" w:rsidP="00E57BF4">
            <w:pPr>
              <w:spacing w:after="0"/>
              <w:jc w:val="center"/>
              <w:rPr>
                <w:rFonts w:eastAsia="Times New Roman"/>
                <w:color w:val="000000" w:themeColor="text1"/>
                <w:sz w:val="20"/>
                <w:lang w:eastAsia="en-GB"/>
              </w:rPr>
            </w:pPr>
            <w:r w:rsidRPr="00677421">
              <w:rPr>
                <w:sz w:val="20"/>
              </w:rPr>
              <w:t>71.1%</w:t>
            </w:r>
          </w:p>
        </w:tc>
        <w:tc>
          <w:tcPr>
            <w:tcW w:w="1510" w:type="dxa"/>
            <w:tcBorders>
              <w:top w:val="nil"/>
              <w:left w:val="nil"/>
              <w:bottom w:val="nil"/>
              <w:right w:val="single" w:sz="8" w:space="0" w:color="auto"/>
            </w:tcBorders>
            <w:vAlign w:val="center"/>
          </w:tcPr>
          <w:p w14:paraId="21736513" w14:textId="534B7B20" w:rsidR="00E57BF4" w:rsidRPr="00830D25" w:rsidRDefault="00E57BF4" w:rsidP="00E57BF4">
            <w:pPr>
              <w:spacing w:after="0"/>
              <w:jc w:val="center"/>
              <w:rPr>
                <w:rFonts w:eastAsia="Times New Roman"/>
                <w:color w:val="000000" w:themeColor="text1"/>
                <w:sz w:val="20"/>
                <w:lang w:eastAsia="en-GB"/>
              </w:rPr>
            </w:pPr>
            <w:r w:rsidRPr="00677421">
              <w:rPr>
                <w:sz w:val="20"/>
              </w:rPr>
              <w:t>11.9%</w:t>
            </w:r>
          </w:p>
        </w:tc>
        <w:tc>
          <w:tcPr>
            <w:tcW w:w="1510" w:type="dxa"/>
            <w:tcBorders>
              <w:top w:val="nil"/>
              <w:left w:val="nil"/>
              <w:bottom w:val="nil"/>
              <w:right w:val="single" w:sz="8" w:space="0" w:color="auto"/>
            </w:tcBorders>
            <w:vAlign w:val="center"/>
          </w:tcPr>
          <w:p w14:paraId="62F95FB2" w14:textId="762ED2D8" w:rsidR="00E57BF4" w:rsidRPr="00830D25" w:rsidRDefault="00E57BF4" w:rsidP="00E57BF4">
            <w:pPr>
              <w:spacing w:after="0"/>
              <w:jc w:val="center"/>
              <w:rPr>
                <w:rFonts w:eastAsia="Times New Roman"/>
                <w:color w:val="000000" w:themeColor="text1"/>
                <w:sz w:val="20"/>
                <w:lang w:eastAsia="en-GB"/>
              </w:rPr>
            </w:pPr>
            <w:r w:rsidRPr="00677421">
              <w:rPr>
                <w:sz w:val="20"/>
              </w:rPr>
              <w:t>83.0%</w:t>
            </w:r>
          </w:p>
        </w:tc>
      </w:tr>
      <w:tr w:rsidR="00E57BF4" w:rsidRPr="00BF23A7" w14:paraId="3C2EC286" w14:textId="13D908AF" w:rsidTr="00E57BF4">
        <w:trPr>
          <w:trHeight w:val="300"/>
        </w:trPr>
        <w:tc>
          <w:tcPr>
            <w:tcW w:w="2835" w:type="dxa"/>
            <w:tcBorders>
              <w:top w:val="nil"/>
              <w:left w:val="single" w:sz="8" w:space="0" w:color="auto"/>
              <w:bottom w:val="nil"/>
              <w:right w:val="single" w:sz="8" w:space="0" w:color="auto"/>
            </w:tcBorders>
            <w:shd w:val="clear" w:color="auto" w:fill="auto"/>
            <w:vAlign w:val="center"/>
            <w:hideMark/>
          </w:tcPr>
          <w:p w14:paraId="034B1816" w14:textId="406E1FB7" w:rsidR="00E57BF4" w:rsidRPr="00830D25" w:rsidRDefault="00E57BF4" w:rsidP="00E57BF4">
            <w:pPr>
              <w:spacing w:after="0"/>
              <w:rPr>
                <w:rFonts w:eastAsia="Times New Roman"/>
                <w:color w:val="000000" w:themeColor="text1"/>
                <w:sz w:val="20"/>
                <w:lang w:eastAsia="en-GB"/>
              </w:rPr>
            </w:pPr>
            <w:proofErr w:type="gramStart"/>
            <w:r w:rsidRPr="00011E55">
              <w:rPr>
                <w:rFonts w:eastAsia="Times New Roman"/>
                <w:color w:val="000000"/>
                <w:sz w:val="20"/>
                <w:lang w:eastAsia="en-GB"/>
              </w:rPr>
              <w:t>South West</w:t>
            </w:r>
            <w:proofErr w:type="gramEnd"/>
          </w:p>
        </w:tc>
        <w:tc>
          <w:tcPr>
            <w:tcW w:w="1509" w:type="dxa"/>
            <w:tcBorders>
              <w:top w:val="nil"/>
              <w:left w:val="nil"/>
              <w:bottom w:val="nil"/>
              <w:right w:val="single" w:sz="8" w:space="0" w:color="auto"/>
            </w:tcBorders>
            <w:vAlign w:val="center"/>
          </w:tcPr>
          <w:p w14:paraId="72E7A841" w14:textId="75FC7187" w:rsidR="00E57BF4" w:rsidRPr="00830D25" w:rsidRDefault="00E57BF4" w:rsidP="00E57BF4">
            <w:pPr>
              <w:spacing w:after="0"/>
              <w:jc w:val="center"/>
              <w:rPr>
                <w:rFonts w:eastAsia="Times New Roman"/>
                <w:color w:val="000000" w:themeColor="text1"/>
                <w:sz w:val="20"/>
                <w:lang w:eastAsia="en-GB"/>
              </w:rPr>
            </w:pPr>
            <w:r w:rsidRPr="00677421">
              <w:rPr>
                <w:sz w:val="20"/>
              </w:rPr>
              <w:t>21.9%</w:t>
            </w:r>
          </w:p>
        </w:tc>
        <w:tc>
          <w:tcPr>
            <w:tcW w:w="1510" w:type="dxa"/>
            <w:tcBorders>
              <w:top w:val="nil"/>
              <w:left w:val="nil"/>
              <w:bottom w:val="nil"/>
              <w:right w:val="single" w:sz="8" w:space="0" w:color="auto"/>
            </w:tcBorders>
            <w:vAlign w:val="center"/>
          </w:tcPr>
          <w:p w14:paraId="2A3060D2" w14:textId="37839F83" w:rsidR="00E57BF4" w:rsidRPr="00830D25" w:rsidRDefault="00E57BF4" w:rsidP="00E57BF4">
            <w:pPr>
              <w:spacing w:after="0"/>
              <w:jc w:val="center"/>
              <w:rPr>
                <w:rFonts w:eastAsia="Times New Roman"/>
                <w:color w:val="000000" w:themeColor="text1"/>
                <w:sz w:val="20"/>
                <w:lang w:eastAsia="en-GB"/>
              </w:rPr>
            </w:pPr>
            <w:r w:rsidRPr="00677421">
              <w:rPr>
                <w:sz w:val="20"/>
              </w:rPr>
              <w:t>66.7%</w:t>
            </w:r>
          </w:p>
        </w:tc>
        <w:tc>
          <w:tcPr>
            <w:tcW w:w="1510" w:type="dxa"/>
            <w:tcBorders>
              <w:top w:val="nil"/>
              <w:left w:val="nil"/>
              <w:bottom w:val="nil"/>
              <w:right w:val="single" w:sz="8" w:space="0" w:color="auto"/>
            </w:tcBorders>
            <w:vAlign w:val="center"/>
          </w:tcPr>
          <w:p w14:paraId="082ECCF6" w14:textId="2B851808" w:rsidR="00E57BF4" w:rsidRPr="00830D25" w:rsidRDefault="00E57BF4" w:rsidP="00E57BF4">
            <w:pPr>
              <w:spacing w:after="0"/>
              <w:jc w:val="center"/>
              <w:rPr>
                <w:rFonts w:eastAsia="Times New Roman"/>
                <w:color w:val="000000" w:themeColor="text1"/>
                <w:sz w:val="20"/>
                <w:lang w:eastAsia="en-GB"/>
              </w:rPr>
            </w:pPr>
            <w:r w:rsidRPr="00677421">
              <w:rPr>
                <w:sz w:val="20"/>
              </w:rPr>
              <w:t>11.4%</w:t>
            </w:r>
          </w:p>
        </w:tc>
        <w:tc>
          <w:tcPr>
            <w:tcW w:w="1510" w:type="dxa"/>
            <w:tcBorders>
              <w:top w:val="nil"/>
              <w:left w:val="nil"/>
              <w:bottom w:val="nil"/>
              <w:right w:val="single" w:sz="8" w:space="0" w:color="auto"/>
            </w:tcBorders>
            <w:vAlign w:val="center"/>
          </w:tcPr>
          <w:p w14:paraId="0679B35E" w14:textId="5932BCDA" w:rsidR="00E57BF4" w:rsidRPr="00830D25" w:rsidRDefault="00E57BF4" w:rsidP="00E57BF4">
            <w:pPr>
              <w:spacing w:after="0"/>
              <w:jc w:val="center"/>
              <w:rPr>
                <w:rFonts w:eastAsia="Times New Roman"/>
                <w:color w:val="000000" w:themeColor="text1"/>
                <w:sz w:val="20"/>
                <w:lang w:eastAsia="en-GB"/>
              </w:rPr>
            </w:pPr>
            <w:r w:rsidRPr="00677421">
              <w:rPr>
                <w:sz w:val="20"/>
              </w:rPr>
              <w:t>78.1%</w:t>
            </w:r>
          </w:p>
        </w:tc>
      </w:tr>
      <w:tr w:rsidR="00E57BF4" w:rsidRPr="00BF23A7" w14:paraId="12389432" w14:textId="05E2C0E5" w:rsidTr="00E57BF4">
        <w:trPr>
          <w:trHeight w:val="315"/>
        </w:trPr>
        <w:tc>
          <w:tcPr>
            <w:tcW w:w="2835" w:type="dxa"/>
            <w:tcBorders>
              <w:top w:val="nil"/>
              <w:left w:val="single" w:sz="8" w:space="0" w:color="auto"/>
              <w:bottom w:val="single" w:sz="8" w:space="0" w:color="auto"/>
              <w:right w:val="single" w:sz="8" w:space="0" w:color="auto"/>
            </w:tcBorders>
            <w:shd w:val="clear" w:color="auto" w:fill="auto"/>
            <w:vAlign w:val="center"/>
            <w:hideMark/>
          </w:tcPr>
          <w:p w14:paraId="68E9514A" w14:textId="024CA607" w:rsidR="00E57BF4" w:rsidRPr="00830D25" w:rsidRDefault="00E57BF4" w:rsidP="00E57BF4">
            <w:pPr>
              <w:spacing w:after="0"/>
              <w:rPr>
                <w:rFonts w:eastAsia="Times New Roman"/>
                <w:color w:val="000000" w:themeColor="text1"/>
                <w:sz w:val="20"/>
                <w:lang w:eastAsia="en-GB"/>
              </w:rPr>
            </w:pPr>
            <w:r w:rsidRPr="00011E55">
              <w:rPr>
                <w:rFonts w:eastAsia="Times New Roman"/>
                <w:color w:val="000000"/>
                <w:sz w:val="20"/>
                <w:lang w:eastAsia="en-GB"/>
              </w:rPr>
              <w:t>England</w:t>
            </w:r>
          </w:p>
        </w:tc>
        <w:tc>
          <w:tcPr>
            <w:tcW w:w="1509" w:type="dxa"/>
            <w:tcBorders>
              <w:top w:val="nil"/>
              <w:left w:val="nil"/>
              <w:bottom w:val="single" w:sz="8" w:space="0" w:color="auto"/>
              <w:right w:val="single" w:sz="8" w:space="0" w:color="auto"/>
            </w:tcBorders>
            <w:vAlign w:val="center"/>
          </w:tcPr>
          <w:p w14:paraId="59E07014" w14:textId="358B470C" w:rsidR="00E57BF4" w:rsidRPr="00830D25" w:rsidRDefault="00E57BF4" w:rsidP="00E57BF4">
            <w:pPr>
              <w:spacing w:after="0"/>
              <w:jc w:val="center"/>
              <w:rPr>
                <w:rFonts w:eastAsia="Times New Roman"/>
                <w:color w:val="000000" w:themeColor="text1"/>
                <w:sz w:val="20"/>
                <w:lang w:eastAsia="en-GB"/>
              </w:rPr>
            </w:pPr>
            <w:r w:rsidRPr="00677421">
              <w:rPr>
                <w:sz w:val="20"/>
              </w:rPr>
              <w:t>21.0%</w:t>
            </w:r>
          </w:p>
        </w:tc>
        <w:tc>
          <w:tcPr>
            <w:tcW w:w="1510" w:type="dxa"/>
            <w:tcBorders>
              <w:top w:val="nil"/>
              <w:left w:val="nil"/>
              <w:bottom w:val="single" w:sz="8" w:space="0" w:color="auto"/>
              <w:right w:val="single" w:sz="8" w:space="0" w:color="auto"/>
            </w:tcBorders>
            <w:vAlign w:val="center"/>
          </w:tcPr>
          <w:p w14:paraId="04023B5F" w14:textId="71A87084" w:rsidR="00E57BF4" w:rsidRPr="00830D25" w:rsidRDefault="00E57BF4" w:rsidP="00E57BF4">
            <w:pPr>
              <w:spacing w:after="0"/>
              <w:jc w:val="center"/>
              <w:rPr>
                <w:rFonts w:eastAsia="Times New Roman"/>
                <w:color w:val="000000" w:themeColor="text1"/>
                <w:sz w:val="20"/>
                <w:lang w:eastAsia="en-GB"/>
              </w:rPr>
            </w:pPr>
            <w:r w:rsidRPr="00677421">
              <w:rPr>
                <w:sz w:val="20"/>
              </w:rPr>
              <w:t>67.0%</w:t>
            </w:r>
          </w:p>
        </w:tc>
        <w:tc>
          <w:tcPr>
            <w:tcW w:w="1510" w:type="dxa"/>
            <w:tcBorders>
              <w:top w:val="nil"/>
              <w:left w:val="nil"/>
              <w:bottom w:val="single" w:sz="8" w:space="0" w:color="auto"/>
              <w:right w:val="single" w:sz="8" w:space="0" w:color="auto"/>
            </w:tcBorders>
            <w:vAlign w:val="center"/>
          </w:tcPr>
          <w:p w14:paraId="670EB6F4" w14:textId="7BE904DC" w:rsidR="00E57BF4" w:rsidRPr="00830D25" w:rsidRDefault="00E57BF4" w:rsidP="00E57BF4">
            <w:pPr>
              <w:spacing w:after="0"/>
              <w:jc w:val="center"/>
              <w:rPr>
                <w:rFonts w:eastAsia="Times New Roman"/>
                <w:color w:val="000000" w:themeColor="text1"/>
                <w:sz w:val="20"/>
                <w:lang w:eastAsia="en-GB"/>
              </w:rPr>
            </w:pPr>
            <w:r w:rsidRPr="00677421">
              <w:rPr>
                <w:sz w:val="20"/>
              </w:rPr>
              <w:t>11.0%</w:t>
            </w:r>
          </w:p>
        </w:tc>
        <w:tc>
          <w:tcPr>
            <w:tcW w:w="1510" w:type="dxa"/>
            <w:tcBorders>
              <w:top w:val="nil"/>
              <w:left w:val="nil"/>
              <w:bottom w:val="single" w:sz="8" w:space="0" w:color="auto"/>
              <w:right w:val="single" w:sz="8" w:space="0" w:color="auto"/>
            </w:tcBorders>
            <w:vAlign w:val="center"/>
          </w:tcPr>
          <w:p w14:paraId="3A8D9D76" w14:textId="18551DCA" w:rsidR="00E57BF4" w:rsidRPr="00830D25" w:rsidRDefault="00E57BF4" w:rsidP="00E57BF4">
            <w:pPr>
              <w:spacing w:after="0"/>
              <w:jc w:val="center"/>
              <w:rPr>
                <w:rFonts w:eastAsia="Times New Roman"/>
                <w:color w:val="000000" w:themeColor="text1"/>
                <w:sz w:val="20"/>
                <w:lang w:eastAsia="en-GB"/>
              </w:rPr>
            </w:pPr>
            <w:r w:rsidRPr="00677421">
              <w:rPr>
                <w:sz w:val="20"/>
              </w:rPr>
              <w:t>78.0%</w:t>
            </w:r>
          </w:p>
        </w:tc>
      </w:tr>
    </w:tbl>
    <w:p w14:paraId="1B667400" w14:textId="77777777" w:rsidR="00B30EAA" w:rsidRPr="00B30EAA" w:rsidRDefault="00B30EAA" w:rsidP="00E57BF4">
      <w:pPr>
        <w:pStyle w:val="ListBullet"/>
        <w:spacing w:before="60"/>
        <w:jc w:val="right"/>
        <w:rPr>
          <w:bCs/>
          <w:i/>
          <w:sz w:val="18"/>
        </w:rPr>
      </w:pPr>
      <w:r w:rsidRPr="00B30EAA">
        <w:rPr>
          <w:bCs/>
          <w:i/>
          <w:sz w:val="18"/>
        </w:rPr>
        <w:t>Source: Cebr analysis of schemes under NAHP</w:t>
      </w:r>
    </w:p>
    <w:p w14:paraId="447CE676" w14:textId="77777777" w:rsidR="00B30EAA" w:rsidRDefault="00B30EAA" w:rsidP="007D3E32">
      <w:pPr>
        <w:spacing w:line="276" w:lineRule="auto"/>
        <w:jc w:val="both"/>
        <w:rPr>
          <w:rFonts w:cs="Calibri"/>
        </w:rPr>
      </w:pPr>
      <w:r>
        <w:rPr>
          <w:rFonts w:cs="Calibri"/>
        </w:rPr>
        <w:t xml:space="preserve">The data in </w:t>
      </w:r>
      <w:r>
        <w:rPr>
          <w:rFonts w:cs="Calibri"/>
        </w:rPr>
        <w:fldChar w:fldCharType="begin"/>
      </w:r>
      <w:r>
        <w:rPr>
          <w:rFonts w:cs="Calibri"/>
        </w:rPr>
        <w:instrText xml:space="preserve"> REF _Ref479287752 \h </w:instrText>
      </w:r>
      <w:r>
        <w:rPr>
          <w:rFonts w:cs="Calibri"/>
        </w:rPr>
      </w:r>
      <w:r>
        <w:rPr>
          <w:rFonts w:cs="Calibri"/>
        </w:rPr>
        <w:fldChar w:fldCharType="separate"/>
      </w:r>
      <w:r>
        <w:t xml:space="preserve">Table </w:t>
      </w:r>
      <w:r>
        <w:rPr>
          <w:noProof/>
        </w:rPr>
        <w:t>3</w:t>
      </w:r>
      <w:r>
        <w:rPr>
          <w:rFonts w:cs="Calibri"/>
        </w:rPr>
        <w:fldChar w:fldCharType="end"/>
      </w:r>
      <w:r>
        <w:rPr>
          <w:rFonts w:cs="Calibri"/>
        </w:rPr>
        <w:t xml:space="preserve"> is scaled per these assumptions before entering the supply-use and input-output framework on which the impact workings within the LEIC are based.</w:t>
      </w:r>
    </w:p>
    <w:p w14:paraId="06A21B21" w14:textId="4BF33150" w:rsidR="00B30EAA" w:rsidRDefault="00B30EAA" w:rsidP="007D3E32">
      <w:pPr>
        <w:spacing w:line="276" w:lineRule="auto"/>
        <w:jc w:val="both"/>
        <w:rPr>
          <w:rFonts w:cs="Calibri"/>
        </w:rPr>
      </w:pPr>
      <w:r>
        <w:rPr>
          <w:rFonts w:cs="Calibri"/>
        </w:rPr>
        <w:t>Using investment project-specific data from housing associations (supplied to Cebr through NHF</w:t>
      </w:r>
      <w:r w:rsidR="007D3E32">
        <w:rPr>
          <w:rFonts w:cs="Calibri"/>
        </w:rPr>
        <w:t xml:space="preserve"> for a previous iteration of the study</w:t>
      </w:r>
      <w:r>
        <w:rPr>
          <w:rFonts w:cs="Calibri"/>
        </w:rPr>
        <w:t>), we identify the ‘beneficiary’ industries of this investment spend. These are shown in</w:t>
      </w:r>
      <w:r w:rsidRPr="00E853F8">
        <w:rPr>
          <w:rFonts w:cs="Calibri"/>
        </w:rPr>
        <w:t xml:space="preserve"> </w:t>
      </w:r>
      <w:r w:rsidRPr="00E853F8">
        <w:rPr>
          <w:rFonts w:cs="Calibri"/>
        </w:rPr>
        <w:fldChar w:fldCharType="begin"/>
      </w:r>
      <w:r w:rsidRPr="00E853F8">
        <w:rPr>
          <w:rFonts w:cs="Calibri"/>
        </w:rPr>
        <w:instrText xml:space="preserve"> REF _Ref343498378 \h  \* MERGEFORMAT </w:instrText>
      </w:r>
      <w:r w:rsidRPr="00E853F8">
        <w:rPr>
          <w:rFonts w:cs="Calibri"/>
        </w:rPr>
      </w:r>
      <w:r w:rsidRPr="00E853F8">
        <w:rPr>
          <w:rFonts w:cs="Calibri"/>
        </w:rPr>
        <w:fldChar w:fldCharType="separate"/>
      </w:r>
      <w:r>
        <w:t xml:space="preserve">Table </w:t>
      </w:r>
      <w:r>
        <w:rPr>
          <w:noProof/>
        </w:rPr>
        <w:t>5</w:t>
      </w:r>
      <w:r w:rsidRPr="00E853F8">
        <w:rPr>
          <w:rFonts w:cs="Calibri"/>
        </w:rPr>
        <w:fldChar w:fldCharType="end"/>
      </w:r>
      <w:r w:rsidRPr="00E853F8">
        <w:rPr>
          <w:rFonts w:cs="Calibri"/>
        </w:rPr>
        <w:t xml:space="preserve"> </w:t>
      </w:r>
      <w:r>
        <w:rPr>
          <w:rFonts w:cs="Calibri"/>
        </w:rPr>
        <w:t>below.</w:t>
      </w:r>
    </w:p>
    <w:p w14:paraId="13F787CC" w14:textId="48026E22" w:rsidR="00B30EAA" w:rsidRDefault="00B30EAA" w:rsidP="00B30EAA">
      <w:pPr>
        <w:pStyle w:val="Caption"/>
        <w:keepNext/>
        <w:keepLines/>
      </w:pPr>
      <w:bookmarkStart w:id="24" w:name="_Ref343498378"/>
      <w:r w:rsidRPr="001502E8">
        <w:t xml:space="preserve">Table </w:t>
      </w:r>
      <w:r w:rsidR="00E6080E">
        <w:fldChar w:fldCharType="begin"/>
      </w:r>
      <w:r w:rsidR="00E6080E">
        <w:instrText xml:space="preserve"> SEQ Table \* ARABIC </w:instrText>
      </w:r>
      <w:r w:rsidR="00E6080E">
        <w:fldChar w:fldCharType="separate"/>
      </w:r>
      <w:r w:rsidR="00142F7F" w:rsidRPr="001502E8">
        <w:rPr>
          <w:noProof/>
        </w:rPr>
        <w:t>5</w:t>
      </w:r>
      <w:r w:rsidR="00E6080E">
        <w:rPr>
          <w:noProof/>
        </w:rPr>
        <w:fldChar w:fldCharType="end"/>
      </w:r>
      <w:bookmarkEnd w:id="24"/>
      <w:r w:rsidR="00C07A8A" w:rsidRPr="001502E8">
        <w:t>:</w:t>
      </w:r>
      <w:r w:rsidRPr="001502E8">
        <w:t xml:space="preserve"> Contribution to affordable housing investment by sector</w:t>
      </w:r>
      <w:r w:rsidR="00C47777" w:rsidRPr="001502E8">
        <w:rPr>
          <w:rStyle w:val="FootnoteReference"/>
        </w:rPr>
        <w:footnoteReference w:id="10"/>
      </w:r>
    </w:p>
    <w:tbl>
      <w:tblPr>
        <w:tblW w:w="6242" w:type="dxa"/>
        <w:tblInd w:w="1368" w:type="dxa"/>
        <w:tblLook w:val="04A0" w:firstRow="1" w:lastRow="0" w:firstColumn="1" w:lastColumn="0" w:noHBand="0" w:noVBand="1"/>
      </w:tblPr>
      <w:tblGrid>
        <w:gridCol w:w="4605"/>
        <w:gridCol w:w="1637"/>
      </w:tblGrid>
      <w:tr w:rsidR="00B30EAA" w:rsidRPr="00BF23A7" w14:paraId="71FD4E3C" w14:textId="77777777" w:rsidTr="00B30EAA">
        <w:trPr>
          <w:trHeight w:val="315"/>
        </w:trPr>
        <w:tc>
          <w:tcPr>
            <w:tcW w:w="4605" w:type="dxa"/>
            <w:tcBorders>
              <w:top w:val="single" w:sz="8" w:space="0" w:color="auto"/>
              <w:left w:val="single" w:sz="8" w:space="0" w:color="auto"/>
              <w:bottom w:val="single" w:sz="8" w:space="0" w:color="auto"/>
              <w:right w:val="single" w:sz="8" w:space="0" w:color="auto"/>
            </w:tcBorders>
            <w:shd w:val="clear" w:color="000000" w:fill="008C9B"/>
            <w:vAlign w:val="center"/>
            <w:hideMark/>
          </w:tcPr>
          <w:p w14:paraId="1A21698A" w14:textId="77777777" w:rsidR="00B30EAA" w:rsidRPr="00BF23A7" w:rsidRDefault="00B30EAA" w:rsidP="00B30EAA">
            <w:pPr>
              <w:spacing w:after="0"/>
              <w:rPr>
                <w:rFonts w:eastAsia="Times New Roman"/>
                <w:b/>
                <w:bCs/>
                <w:color w:val="FFFFFF"/>
                <w:sz w:val="20"/>
                <w:lang w:eastAsia="en-GB"/>
              </w:rPr>
            </w:pPr>
            <w:r w:rsidRPr="00BF23A7">
              <w:rPr>
                <w:rFonts w:eastAsia="Times New Roman"/>
                <w:b/>
                <w:bCs/>
                <w:color w:val="FFFFFF"/>
                <w:sz w:val="20"/>
                <w:lang w:eastAsia="en-GB"/>
              </w:rPr>
              <w:t>Sector</w:t>
            </w:r>
          </w:p>
        </w:tc>
        <w:tc>
          <w:tcPr>
            <w:tcW w:w="1637" w:type="dxa"/>
            <w:tcBorders>
              <w:top w:val="single" w:sz="8" w:space="0" w:color="auto"/>
              <w:left w:val="nil"/>
              <w:bottom w:val="single" w:sz="8" w:space="0" w:color="auto"/>
              <w:right w:val="single" w:sz="8" w:space="0" w:color="auto"/>
            </w:tcBorders>
            <w:shd w:val="clear" w:color="000000" w:fill="008C9B"/>
            <w:vAlign w:val="center"/>
          </w:tcPr>
          <w:p w14:paraId="0EDA911A" w14:textId="77777777" w:rsidR="00B30EAA" w:rsidRPr="00BF23A7" w:rsidRDefault="00B30EAA" w:rsidP="00B30EAA">
            <w:pPr>
              <w:spacing w:after="0"/>
              <w:jc w:val="center"/>
              <w:rPr>
                <w:rFonts w:eastAsia="Times New Roman"/>
                <w:b/>
                <w:bCs/>
                <w:color w:val="FFFFFF"/>
                <w:sz w:val="20"/>
                <w:lang w:eastAsia="en-GB"/>
              </w:rPr>
            </w:pPr>
            <w:r w:rsidRPr="00BF23A7">
              <w:rPr>
                <w:rFonts w:eastAsia="Times New Roman"/>
                <w:b/>
                <w:bCs/>
                <w:color w:val="FFFFFF"/>
                <w:sz w:val="20"/>
                <w:lang w:eastAsia="en-GB"/>
              </w:rPr>
              <w:t xml:space="preserve">Percentage of </w:t>
            </w:r>
            <w:r>
              <w:rPr>
                <w:rFonts w:eastAsia="Times New Roman"/>
                <w:b/>
                <w:bCs/>
                <w:color w:val="FFFFFF"/>
                <w:sz w:val="20"/>
                <w:lang w:eastAsia="en-GB"/>
              </w:rPr>
              <w:t>total</w:t>
            </w:r>
          </w:p>
        </w:tc>
      </w:tr>
      <w:tr w:rsidR="00B30EAA" w:rsidRPr="00BF23A7" w14:paraId="0E5D9F97" w14:textId="77777777" w:rsidTr="00B30EAA">
        <w:trPr>
          <w:trHeight w:val="300"/>
        </w:trPr>
        <w:tc>
          <w:tcPr>
            <w:tcW w:w="4605" w:type="dxa"/>
            <w:tcBorders>
              <w:top w:val="nil"/>
              <w:left w:val="single" w:sz="8" w:space="0" w:color="auto"/>
              <w:bottom w:val="nil"/>
              <w:right w:val="single" w:sz="8" w:space="0" w:color="auto"/>
            </w:tcBorders>
            <w:shd w:val="clear" w:color="auto" w:fill="auto"/>
            <w:vAlign w:val="center"/>
            <w:hideMark/>
          </w:tcPr>
          <w:p w14:paraId="1DAF520E" w14:textId="77777777" w:rsidR="00B30EAA" w:rsidRPr="00830D25" w:rsidRDefault="00B30EAA" w:rsidP="00B30EAA">
            <w:pPr>
              <w:spacing w:after="0"/>
              <w:rPr>
                <w:rFonts w:eastAsia="Times New Roman"/>
                <w:color w:val="000000" w:themeColor="text1"/>
                <w:sz w:val="20"/>
                <w:lang w:eastAsia="en-GB"/>
              </w:rPr>
            </w:pPr>
            <w:r w:rsidRPr="00830D25">
              <w:rPr>
                <w:rFonts w:eastAsia="Times New Roman"/>
                <w:color w:val="000000" w:themeColor="text1"/>
                <w:sz w:val="20"/>
                <w:lang w:eastAsia="en-GB"/>
              </w:rPr>
              <w:t>Construction</w:t>
            </w:r>
          </w:p>
        </w:tc>
        <w:tc>
          <w:tcPr>
            <w:tcW w:w="1637" w:type="dxa"/>
            <w:tcBorders>
              <w:top w:val="nil"/>
              <w:left w:val="nil"/>
              <w:bottom w:val="nil"/>
              <w:right w:val="single" w:sz="8" w:space="0" w:color="auto"/>
            </w:tcBorders>
            <w:vAlign w:val="center"/>
          </w:tcPr>
          <w:p w14:paraId="69EB991B" w14:textId="77777777" w:rsidR="00B30EAA" w:rsidRPr="00830D25" w:rsidRDefault="00B30EAA" w:rsidP="00B30EAA">
            <w:pPr>
              <w:spacing w:after="0"/>
              <w:jc w:val="center"/>
              <w:rPr>
                <w:rFonts w:eastAsia="Times New Roman"/>
                <w:color w:val="000000" w:themeColor="text1"/>
                <w:sz w:val="20"/>
                <w:lang w:eastAsia="en-GB"/>
              </w:rPr>
            </w:pPr>
            <w:r w:rsidRPr="00830D25">
              <w:rPr>
                <w:rFonts w:eastAsia="Times New Roman"/>
                <w:color w:val="000000" w:themeColor="text1"/>
                <w:sz w:val="20"/>
                <w:lang w:eastAsia="en-GB"/>
              </w:rPr>
              <w:t>68.96%</w:t>
            </w:r>
          </w:p>
        </w:tc>
      </w:tr>
      <w:tr w:rsidR="00B30EAA" w:rsidRPr="00BF23A7" w14:paraId="5E9AC4CE" w14:textId="77777777" w:rsidTr="00B30EAA">
        <w:trPr>
          <w:trHeight w:val="300"/>
        </w:trPr>
        <w:tc>
          <w:tcPr>
            <w:tcW w:w="4605" w:type="dxa"/>
            <w:tcBorders>
              <w:top w:val="nil"/>
              <w:left w:val="single" w:sz="8" w:space="0" w:color="auto"/>
              <w:bottom w:val="nil"/>
              <w:right w:val="single" w:sz="8" w:space="0" w:color="auto"/>
            </w:tcBorders>
            <w:shd w:val="clear" w:color="auto" w:fill="auto"/>
            <w:vAlign w:val="center"/>
            <w:hideMark/>
          </w:tcPr>
          <w:p w14:paraId="38C02438" w14:textId="77777777" w:rsidR="00B30EAA" w:rsidRPr="00830D25" w:rsidRDefault="00B30EAA" w:rsidP="00B30EAA">
            <w:pPr>
              <w:spacing w:after="0"/>
              <w:rPr>
                <w:rFonts w:eastAsia="Times New Roman"/>
                <w:color w:val="000000" w:themeColor="text1"/>
                <w:sz w:val="20"/>
                <w:lang w:eastAsia="en-GB"/>
              </w:rPr>
            </w:pPr>
            <w:r w:rsidRPr="00830D25">
              <w:rPr>
                <w:rFonts w:eastAsia="Times New Roman"/>
                <w:color w:val="000000" w:themeColor="text1"/>
                <w:sz w:val="20"/>
                <w:lang w:eastAsia="en-GB"/>
              </w:rPr>
              <w:t>Professional Scientific and Technical Activities</w:t>
            </w:r>
          </w:p>
        </w:tc>
        <w:tc>
          <w:tcPr>
            <w:tcW w:w="1637" w:type="dxa"/>
            <w:tcBorders>
              <w:top w:val="nil"/>
              <w:left w:val="nil"/>
              <w:bottom w:val="nil"/>
              <w:right w:val="single" w:sz="8" w:space="0" w:color="auto"/>
            </w:tcBorders>
            <w:vAlign w:val="center"/>
          </w:tcPr>
          <w:p w14:paraId="3E3A534F" w14:textId="77777777" w:rsidR="00B30EAA" w:rsidRPr="00830D25" w:rsidRDefault="00B30EAA" w:rsidP="00B30EAA">
            <w:pPr>
              <w:spacing w:after="0"/>
              <w:jc w:val="center"/>
              <w:rPr>
                <w:rFonts w:eastAsia="Times New Roman"/>
                <w:color w:val="000000" w:themeColor="text1"/>
                <w:sz w:val="20"/>
                <w:lang w:eastAsia="en-GB"/>
              </w:rPr>
            </w:pPr>
            <w:r w:rsidRPr="00830D25">
              <w:rPr>
                <w:rFonts w:eastAsia="Times New Roman"/>
                <w:color w:val="000000" w:themeColor="text1"/>
                <w:sz w:val="20"/>
                <w:lang w:eastAsia="en-GB"/>
              </w:rPr>
              <w:t>16.36%</w:t>
            </w:r>
          </w:p>
        </w:tc>
      </w:tr>
      <w:tr w:rsidR="00B30EAA" w:rsidRPr="00BF23A7" w14:paraId="0DCEEEAF" w14:textId="77777777" w:rsidTr="00B30EAA">
        <w:trPr>
          <w:trHeight w:val="300"/>
        </w:trPr>
        <w:tc>
          <w:tcPr>
            <w:tcW w:w="4605" w:type="dxa"/>
            <w:tcBorders>
              <w:top w:val="nil"/>
              <w:left w:val="single" w:sz="8" w:space="0" w:color="auto"/>
              <w:bottom w:val="nil"/>
              <w:right w:val="single" w:sz="8" w:space="0" w:color="auto"/>
            </w:tcBorders>
            <w:shd w:val="clear" w:color="auto" w:fill="auto"/>
            <w:vAlign w:val="center"/>
            <w:hideMark/>
          </w:tcPr>
          <w:p w14:paraId="727CFB22" w14:textId="77777777" w:rsidR="00B30EAA" w:rsidRPr="00830D25" w:rsidRDefault="00B30EAA" w:rsidP="00B30EAA">
            <w:pPr>
              <w:spacing w:after="0"/>
              <w:rPr>
                <w:rFonts w:eastAsia="Times New Roman"/>
                <w:color w:val="000000" w:themeColor="text1"/>
                <w:sz w:val="20"/>
                <w:lang w:eastAsia="en-GB"/>
              </w:rPr>
            </w:pPr>
            <w:r w:rsidRPr="00830D25">
              <w:rPr>
                <w:rFonts w:eastAsia="Times New Roman"/>
                <w:color w:val="000000" w:themeColor="text1"/>
                <w:sz w:val="20"/>
                <w:lang w:eastAsia="en-GB"/>
              </w:rPr>
              <w:t>Administrative and Support Service Activities</w:t>
            </w:r>
          </w:p>
        </w:tc>
        <w:tc>
          <w:tcPr>
            <w:tcW w:w="1637" w:type="dxa"/>
            <w:tcBorders>
              <w:top w:val="nil"/>
              <w:left w:val="nil"/>
              <w:bottom w:val="nil"/>
              <w:right w:val="single" w:sz="8" w:space="0" w:color="auto"/>
            </w:tcBorders>
            <w:vAlign w:val="center"/>
          </w:tcPr>
          <w:p w14:paraId="3FBB418F" w14:textId="77777777" w:rsidR="00B30EAA" w:rsidRPr="00830D25" w:rsidRDefault="00B30EAA" w:rsidP="00B30EAA">
            <w:pPr>
              <w:spacing w:after="0"/>
              <w:jc w:val="center"/>
              <w:rPr>
                <w:rFonts w:eastAsia="Times New Roman"/>
                <w:color w:val="000000" w:themeColor="text1"/>
                <w:sz w:val="20"/>
                <w:lang w:eastAsia="en-GB"/>
              </w:rPr>
            </w:pPr>
            <w:r w:rsidRPr="00830D25">
              <w:rPr>
                <w:rFonts w:eastAsia="Times New Roman"/>
                <w:color w:val="000000" w:themeColor="text1"/>
                <w:sz w:val="20"/>
                <w:lang w:eastAsia="en-GB"/>
              </w:rPr>
              <w:t>4.64%</w:t>
            </w:r>
          </w:p>
        </w:tc>
      </w:tr>
      <w:tr w:rsidR="00B30EAA" w:rsidRPr="00BF23A7" w14:paraId="7BCCDE4F" w14:textId="77777777" w:rsidTr="00B30EAA">
        <w:trPr>
          <w:trHeight w:val="300"/>
        </w:trPr>
        <w:tc>
          <w:tcPr>
            <w:tcW w:w="4605" w:type="dxa"/>
            <w:tcBorders>
              <w:top w:val="nil"/>
              <w:left w:val="single" w:sz="8" w:space="0" w:color="auto"/>
              <w:bottom w:val="nil"/>
              <w:right w:val="single" w:sz="8" w:space="0" w:color="auto"/>
            </w:tcBorders>
            <w:shd w:val="clear" w:color="auto" w:fill="auto"/>
            <w:vAlign w:val="center"/>
            <w:hideMark/>
          </w:tcPr>
          <w:p w14:paraId="56A759FC" w14:textId="77777777" w:rsidR="00B30EAA" w:rsidRPr="00830D25" w:rsidRDefault="00B30EAA" w:rsidP="00B30EAA">
            <w:pPr>
              <w:spacing w:after="0"/>
              <w:rPr>
                <w:rFonts w:eastAsia="Times New Roman"/>
                <w:color w:val="000000" w:themeColor="text1"/>
                <w:sz w:val="20"/>
                <w:lang w:eastAsia="en-GB"/>
              </w:rPr>
            </w:pPr>
            <w:r w:rsidRPr="00830D25">
              <w:rPr>
                <w:rFonts w:eastAsia="Times New Roman"/>
                <w:color w:val="000000" w:themeColor="text1"/>
                <w:sz w:val="20"/>
                <w:lang w:eastAsia="en-GB"/>
              </w:rPr>
              <w:t>Wholesale and Retail Trade, Repair of Motor Vehicles</w:t>
            </w:r>
          </w:p>
        </w:tc>
        <w:tc>
          <w:tcPr>
            <w:tcW w:w="1637" w:type="dxa"/>
            <w:tcBorders>
              <w:top w:val="nil"/>
              <w:left w:val="nil"/>
              <w:bottom w:val="nil"/>
              <w:right w:val="single" w:sz="8" w:space="0" w:color="auto"/>
            </w:tcBorders>
            <w:vAlign w:val="center"/>
          </w:tcPr>
          <w:p w14:paraId="6D33EB0A" w14:textId="77777777" w:rsidR="00B30EAA" w:rsidRPr="00830D25" w:rsidRDefault="00B30EAA" w:rsidP="00B30EAA">
            <w:pPr>
              <w:spacing w:after="0"/>
              <w:jc w:val="center"/>
              <w:rPr>
                <w:rFonts w:eastAsia="Times New Roman"/>
                <w:color w:val="000000" w:themeColor="text1"/>
                <w:sz w:val="20"/>
                <w:lang w:eastAsia="en-GB"/>
              </w:rPr>
            </w:pPr>
            <w:r w:rsidRPr="00830D25">
              <w:rPr>
                <w:rFonts w:eastAsia="Times New Roman"/>
                <w:color w:val="000000" w:themeColor="text1"/>
                <w:sz w:val="20"/>
                <w:lang w:eastAsia="en-GB"/>
              </w:rPr>
              <w:t>3.74%</w:t>
            </w:r>
          </w:p>
        </w:tc>
      </w:tr>
      <w:tr w:rsidR="00B30EAA" w:rsidRPr="00BF23A7" w14:paraId="6A93744E" w14:textId="77777777" w:rsidTr="00B30EAA">
        <w:trPr>
          <w:trHeight w:val="300"/>
        </w:trPr>
        <w:tc>
          <w:tcPr>
            <w:tcW w:w="4605" w:type="dxa"/>
            <w:tcBorders>
              <w:top w:val="nil"/>
              <w:left w:val="single" w:sz="8" w:space="0" w:color="auto"/>
              <w:bottom w:val="nil"/>
              <w:right w:val="single" w:sz="8" w:space="0" w:color="auto"/>
            </w:tcBorders>
            <w:shd w:val="clear" w:color="auto" w:fill="auto"/>
            <w:vAlign w:val="center"/>
            <w:hideMark/>
          </w:tcPr>
          <w:p w14:paraId="7D796A51" w14:textId="77777777" w:rsidR="00B30EAA" w:rsidRPr="00830D25" w:rsidRDefault="00B30EAA" w:rsidP="00B30EAA">
            <w:pPr>
              <w:spacing w:after="0"/>
              <w:rPr>
                <w:rFonts w:eastAsia="Times New Roman"/>
                <w:color w:val="000000" w:themeColor="text1"/>
                <w:sz w:val="20"/>
                <w:lang w:eastAsia="en-GB"/>
              </w:rPr>
            </w:pPr>
            <w:r w:rsidRPr="00830D25">
              <w:rPr>
                <w:rFonts w:eastAsia="Times New Roman"/>
                <w:color w:val="000000" w:themeColor="text1"/>
                <w:sz w:val="20"/>
                <w:lang w:eastAsia="en-GB"/>
              </w:rPr>
              <w:t>Water Supply, Sewerage and Waste Management</w:t>
            </w:r>
          </w:p>
        </w:tc>
        <w:tc>
          <w:tcPr>
            <w:tcW w:w="1637" w:type="dxa"/>
            <w:tcBorders>
              <w:top w:val="nil"/>
              <w:left w:val="nil"/>
              <w:bottom w:val="nil"/>
              <w:right w:val="single" w:sz="8" w:space="0" w:color="auto"/>
            </w:tcBorders>
            <w:vAlign w:val="center"/>
          </w:tcPr>
          <w:p w14:paraId="35F09BBD" w14:textId="77777777" w:rsidR="00B30EAA" w:rsidRPr="00830D25" w:rsidRDefault="00B30EAA" w:rsidP="00B30EAA">
            <w:pPr>
              <w:spacing w:after="0"/>
              <w:jc w:val="center"/>
              <w:rPr>
                <w:rFonts w:eastAsia="Times New Roman"/>
                <w:color w:val="000000" w:themeColor="text1"/>
                <w:sz w:val="20"/>
                <w:lang w:eastAsia="en-GB"/>
              </w:rPr>
            </w:pPr>
            <w:r w:rsidRPr="00830D25">
              <w:rPr>
                <w:rFonts w:eastAsia="Times New Roman"/>
                <w:color w:val="000000" w:themeColor="text1"/>
                <w:sz w:val="20"/>
                <w:lang w:eastAsia="en-GB"/>
              </w:rPr>
              <w:t>3.17%</w:t>
            </w:r>
          </w:p>
        </w:tc>
      </w:tr>
      <w:tr w:rsidR="00B30EAA" w:rsidRPr="00BF23A7" w14:paraId="316C91A3" w14:textId="77777777" w:rsidTr="00B30EAA">
        <w:trPr>
          <w:trHeight w:val="300"/>
        </w:trPr>
        <w:tc>
          <w:tcPr>
            <w:tcW w:w="4605" w:type="dxa"/>
            <w:tcBorders>
              <w:top w:val="nil"/>
              <w:left w:val="single" w:sz="8" w:space="0" w:color="auto"/>
              <w:bottom w:val="nil"/>
              <w:right w:val="single" w:sz="8" w:space="0" w:color="auto"/>
            </w:tcBorders>
            <w:shd w:val="clear" w:color="auto" w:fill="auto"/>
            <w:vAlign w:val="center"/>
            <w:hideMark/>
          </w:tcPr>
          <w:p w14:paraId="35E1BB97" w14:textId="77777777" w:rsidR="00B30EAA" w:rsidRPr="00830D25" w:rsidRDefault="00B30EAA" w:rsidP="00B30EAA">
            <w:pPr>
              <w:spacing w:after="0"/>
              <w:rPr>
                <w:rFonts w:eastAsia="Times New Roman"/>
                <w:color w:val="000000" w:themeColor="text1"/>
                <w:sz w:val="20"/>
                <w:lang w:eastAsia="en-GB"/>
              </w:rPr>
            </w:pPr>
            <w:r w:rsidRPr="00830D25">
              <w:rPr>
                <w:rFonts w:eastAsia="Times New Roman"/>
                <w:color w:val="000000" w:themeColor="text1"/>
                <w:sz w:val="20"/>
                <w:lang w:eastAsia="en-GB"/>
              </w:rPr>
              <w:t>Electricity, Gas, Steam and Air Conditioning supply</w:t>
            </w:r>
          </w:p>
        </w:tc>
        <w:tc>
          <w:tcPr>
            <w:tcW w:w="1637" w:type="dxa"/>
            <w:tcBorders>
              <w:top w:val="nil"/>
              <w:left w:val="nil"/>
              <w:bottom w:val="nil"/>
              <w:right w:val="single" w:sz="8" w:space="0" w:color="auto"/>
            </w:tcBorders>
            <w:vAlign w:val="center"/>
          </w:tcPr>
          <w:p w14:paraId="2FE64EDF" w14:textId="77777777" w:rsidR="00B30EAA" w:rsidRPr="00830D25" w:rsidRDefault="00B30EAA" w:rsidP="00B30EAA">
            <w:pPr>
              <w:spacing w:after="0"/>
              <w:jc w:val="center"/>
              <w:rPr>
                <w:rFonts w:eastAsia="Times New Roman"/>
                <w:color w:val="000000" w:themeColor="text1"/>
                <w:sz w:val="20"/>
                <w:lang w:eastAsia="en-GB"/>
              </w:rPr>
            </w:pPr>
            <w:r w:rsidRPr="00830D25">
              <w:rPr>
                <w:rFonts w:eastAsia="Times New Roman"/>
                <w:color w:val="000000" w:themeColor="text1"/>
                <w:sz w:val="20"/>
                <w:lang w:eastAsia="en-GB"/>
              </w:rPr>
              <w:t>2.59%</w:t>
            </w:r>
          </w:p>
        </w:tc>
      </w:tr>
      <w:tr w:rsidR="00B30EAA" w:rsidRPr="00BF23A7" w14:paraId="6A4A08EA" w14:textId="77777777" w:rsidTr="00B30EAA">
        <w:trPr>
          <w:trHeight w:val="300"/>
        </w:trPr>
        <w:tc>
          <w:tcPr>
            <w:tcW w:w="4605" w:type="dxa"/>
            <w:tcBorders>
              <w:top w:val="nil"/>
              <w:left w:val="single" w:sz="8" w:space="0" w:color="auto"/>
              <w:bottom w:val="nil"/>
              <w:right w:val="single" w:sz="8" w:space="0" w:color="auto"/>
            </w:tcBorders>
            <w:shd w:val="clear" w:color="auto" w:fill="auto"/>
            <w:vAlign w:val="center"/>
            <w:hideMark/>
          </w:tcPr>
          <w:p w14:paraId="2D1BDEC7" w14:textId="77777777" w:rsidR="00B30EAA" w:rsidRPr="00830D25" w:rsidRDefault="00B30EAA" w:rsidP="00B30EAA">
            <w:pPr>
              <w:spacing w:after="0"/>
              <w:rPr>
                <w:rFonts w:eastAsia="Times New Roman"/>
                <w:color w:val="000000" w:themeColor="text1"/>
                <w:sz w:val="20"/>
                <w:lang w:eastAsia="en-GB"/>
              </w:rPr>
            </w:pPr>
            <w:r w:rsidRPr="00830D25">
              <w:rPr>
                <w:rFonts w:eastAsia="Times New Roman"/>
                <w:color w:val="000000" w:themeColor="text1"/>
                <w:sz w:val="20"/>
                <w:lang w:eastAsia="en-GB"/>
              </w:rPr>
              <w:t>Information and Communication</w:t>
            </w:r>
          </w:p>
        </w:tc>
        <w:tc>
          <w:tcPr>
            <w:tcW w:w="1637" w:type="dxa"/>
            <w:tcBorders>
              <w:top w:val="nil"/>
              <w:left w:val="nil"/>
              <w:bottom w:val="nil"/>
              <w:right w:val="single" w:sz="8" w:space="0" w:color="auto"/>
            </w:tcBorders>
            <w:vAlign w:val="center"/>
          </w:tcPr>
          <w:p w14:paraId="213E337D" w14:textId="77777777" w:rsidR="00B30EAA" w:rsidRPr="00830D25" w:rsidRDefault="00B30EAA" w:rsidP="00B30EAA">
            <w:pPr>
              <w:spacing w:after="0"/>
              <w:jc w:val="center"/>
              <w:rPr>
                <w:rFonts w:eastAsia="Times New Roman"/>
                <w:color w:val="000000" w:themeColor="text1"/>
                <w:sz w:val="20"/>
                <w:lang w:eastAsia="en-GB"/>
              </w:rPr>
            </w:pPr>
            <w:r w:rsidRPr="00830D25">
              <w:rPr>
                <w:rFonts w:eastAsia="Times New Roman"/>
                <w:color w:val="000000" w:themeColor="text1"/>
                <w:sz w:val="20"/>
                <w:lang w:eastAsia="en-GB"/>
              </w:rPr>
              <w:t>0.26%</w:t>
            </w:r>
          </w:p>
        </w:tc>
      </w:tr>
      <w:tr w:rsidR="00B30EAA" w:rsidRPr="00BF23A7" w14:paraId="4588F489" w14:textId="77777777" w:rsidTr="00B30EAA">
        <w:trPr>
          <w:trHeight w:val="300"/>
        </w:trPr>
        <w:tc>
          <w:tcPr>
            <w:tcW w:w="4605" w:type="dxa"/>
            <w:tcBorders>
              <w:top w:val="nil"/>
              <w:left w:val="single" w:sz="8" w:space="0" w:color="auto"/>
              <w:bottom w:val="nil"/>
              <w:right w:val="single" w:sz="8" w:space="0" w:color="auto"/>
            </w:tcBorders>
            <w:shd w:val="clear" w:color="auto" w:fill="auto"/>
            <w:vAlign w:val="center"/>
            <w:hideMark/>
          </w:tcPr>
          <w:p w14:paraId="3544F64A" w14:textId="77777777" w:rsidR="00B30EAA" w:rsidRPr="00830D25" w:rsidRDefault="00B30EAA" w:rsidP="00B30EAA">
            <w:pPr>
              <w:spacing w:after="0"/>
              <w:rPr>
                <w:rFonts w:eastAsia="Times New Roman"/>
                <w:color w:val="000000" w:themeColor="text1"/>
                <w:sz w:val="20"/>
                <w:lang w:eastAsia="en-GB"/>
              </w:rPr>
            </w:pPr>
            <w:r w:rsidRPr="00830D25">
              <w:rPr>
                <w:rFonts w:eastAsia="Times New Roman"/>
                <w:color w:val="000000" w:themeColor="text1"/>
                <w:sz w:val="20"/>
                <w:lang w:eastAsia="en-GB"/>
              </w:rPr>
              <w:t>Human Health and Social Work Activities</w:t>
            </w:r>
          </w:p>
        </w:tc>
        <w:tc>
          <w:tcPr>
            <w:tcW w:w="1637" w:type="dxa"/>
            <w:tcBorders>
              <w:top w:val="nil"/>
              <w:left w:val="nil"/>
              <w:bottom w:val="nil"/>
              <w:right w:val="single" w:sz="8" w:space="0" w:color="auto"/>
            </w:tcBorders>
            <w:vAlign w:val="center"/>
          </w:tcPr>
          <w:p w14:paraId="31A94355" w14:textId="77777777" w:rsidR="00B30EAA" w:rsidRPr="00830D25" w:rsidRDefault="00B30EAA" w:rsidP="00B30EAA">
            <w:pPr>
              <w:spacing w:after="0"/>
              <w:jc w:val="center"/>
              <w:rPr>
                <w:rFonts w:eastAsia="Times New Roman"/>
                <w:color w:val="000000" w:themeColor="text1"/>
                <w:sz w:val="20"/>
                <w:lang w:eastAsia="en-GB"/>
              </w:rPr>
            </w:pPr>
            <w:r w:rsidRPr="00830D25">
              <w:rPr>
                <w:rFonts w:eastAsia="Times New Roman"/>
                <w:color w:val="000000" w:themeColor="text1"/>
                <w:sz w:val="20"/>
                <w:lang w:eastAsia="en-GB"/>
              </w:rPr>
              <w:t>0.26%</w:t>
            </w:r>
          </w:p>
        </w:tc>
      </w:tr>
      <w:tr w:rsidR="00B30EAA" w:rsidRPr="00BF23A7" w14:paraId="665A22A5" w14:textId="77777777" w:rsidTr="00B30EAA">
        <w:trPr>
          <w:trHeight w:val="315"/>
        </w:trPr>
        <w:tc>
          <w:tcPr>
            <w:tcW w:w="4605" w:type="dxa"/>
            <w:tcBorders>
              <w:top w:val="nil"/>
              <w:left w:val="single" w:sz="8" w:space="0" w:color="auto"/>
              <w:bottom w:val="single" w:sz="8" w:space="0" w:color="auto"/>
              <w:right w:val="single" w:sz="8" w:space="0" w:color="auto"/>
            </w:tcBorders>
            <w:shd w:val="clear" w:color="auto" w:fill="auto"/>
            <w:vAlign w:val="center"/>
            <w:hideMark/>
          </w:tcPr>
          <w:p w14:paraId="321A11C0" w14:textId="77777777" w:rsidR="00B30EAA" w:rsidRPr="00830D25" w:rsidRDefault="00B30EAA" w:rsidP="00B30EAA">
            <w:pPr>
              <w:spacing w:after="0"/>
              <w:rPr>
                <w:rFonts w:eastAsia="Times New Roman"/>
                <w:color w:val="000000" w:themeColor="text1"/>
                <w:sz w:val="20"/>
                <w:lang w:eastAsia="en-GB"/>
              </w:rPr>
            </w:pPr>
            <w:r w:rsidRPr="00830D25">
              <w:rPr>
                <w:rFonts w:eastAsia="Times New Roman"/>
                <w:color w:val="000000" w:themeColor="text1"/>
                <w:sz w:val="20"/>
                <w:lang w:eastAsia="en-GB"/>
              </w:rPr>
              <w:t xml:space="preserve">Manufacturing </w:t>
            </w:r>
          </w:p>
        </w:tc>
        <w:tc>
          <w:tcPr>
            <w:tcW w:w="1637" w:type="dxa"/>
            <w:tcBorders>
              <w:top w:val="nil"/>
              <w:left w:val="nil"/>
              <w:bottom w:val="single" w:sz="8" w:space="0" w:color="auto"/>
              <w:right w:val="single" w:sz="8" w:space="0" w:color="auto"/>
            </w:tcBorders>
            <w:vAlign w:val="center"/>
          </w:tcPr>
          <w:p w14:paraId="2D27AE65" w14:textId="77777777" w:rsidR="00B30EAA" w:rsidRPr="00830D25" w:rsidRDefault="00B30EAA" w:rsidP="00B30EAA">
            <w:pPr>
              <w:spacing w:after="0"/>
              <w:jc w:val="center"/>
              <w:rPr>
                <w:rFonts w:eastAsia="Times New Roman"/>
                <w:color w:val="000000" w:themeColor="text1"/>
                <w:sz w:val="20"/>
                <w:lang w:eastAsia="en-GB"/>
              </w:rPr>
            </w:pPr>
            <w:r w:rsidRPr="00830D25">
              <w:rPr>
                <w:rFonts w:eastAsia="Times New Roman"/>
                <w:color w:val="000000" w:themeColor="text1"/>
                <w:sz w:val="20"/>
                <w:lang w:eastAsia="en-GB"/>
              </w:rPr>
              <w:t>0.02%</w:t>
            </w:r>
          </w:p>
        </w:tc>
      </w:tr>
    </w:tbl>
    <w:p w14:paraId="2AEFF87F" w14:textId="77777777" w:rsidR="00B30EAA" w:rsidRPr="004658C7" w:rsidRDefault="00B30EAA" w:rsidP="004658C7">
      <w:pPr>
        <w:pStyle w:val="ListBullet"/>
        <w:spacing w:before="120"/>
        <w:jc w:val="right"/>
        <w:rPr>
          <w:bCs/>
          <w:i/>
          <w:sz w:val="18"/>
        </w:rPr>
      </w:pPr>
      <w:r w:rsidRPr="004658C7">
        <w:rPr>
          <w:bCs/>
          <w:i/>
          <w:sz w:val="18"/>
        </w:rPr>
        <w:t>Source: NHF, NAO, ONS, Cebr analysis</w:t>
      </w:r>
    </w:p>
    <w:p w14:paraId="531CF0D5" w14:textId="77777777" w:rsidR="00B30EAA" w:rsidRPr="00B859A6" w:rsidRDefault="00B30EAA" w:rsidP="007D3E32">
      <w:pPr>
        <w:spacing w:line="276" w:lineRule="auto"/>
        <w:jc w:val="both"/>
        <w:rPr>
          <w:rFonts w:cs="Calibri"/>
        </w:rPr>
      </w:pPr>
      <w:r w:rsidRPr="00224480">
        <w:rPr>
          <w:rFonts w:cs="Calibri"/>
        </w:rPr>
        <w:t xml:space="preserve">The next step was </w:t>
      </w:r>
      <w:r>
        <w:rPr>
          <w:rFonts w:cs="Calibri"/>
        </w:rPr>
        <w:t xml:space="preserve">to </w:t>
      </w:r>
      <w:r w:rsidRPr="00224480">
        <w:rPr>
          <w:rFonts w:cs="Calibri"/>
        </w:rPr>
        <w:t>undertake a similar process of embedding the relevant activities within the framework</w:t>
      </w:r>
      <w:r w:rsidRPr="002E57B1">
        <w:rPr>
          <w:rFonts w:cs="Calibri"/>
        </w:rPr>
        <w:t xml:space="preserve"> for analysis</w:t>
      </w:r>
      <w:r>
        <w:rPr>
          <w:rFonts w:cs="Calibri"/>
        </w:rPr>
        <w:t xml:space="preserve"> as described for </w:t>
      </w:r>
      <w:proofErr w:type="spellStart"/>
      <w:r>
        <w:rPr>
          <w:rFonts w:cs="Calibri"/>
        </w:rPr>
        <w:t>HAs’</w:t>
      </w:r>
      <w:proofErr w:type="spellEnd"/>
      <w:r>
        <w:rPr>
          <w:rFonts w:cs="Calibri"/>
        </w:rPr>
        <w:t xml:space="preserve"> day-to-day activities, beginning with estimates </w:t>
      </w:r>
      <w:r w:rsidRPr="00467115">
        <w:rPr>
          <w:rFonts w:cs="Calibri"/>
        </w:rPr>
        <w:t xml:space="preserve">of </w:t>
      </w:r>
      <w:r>
        <w:rPr>
          <w:rFonts w:cs="Calibri"/>
        </w:rPr>
        <w:t>the</w:t>
      </w:r>
      <w:r w:rsidRPr="00467115">
        <w:rPr>
          <w:rFonts w:cs="Calibri"/>
        </w:rPr>
        <w:t xml:space="preserve"> other economic indicators</w:t>
      </w:r>
      <w:r>
        <w:rPr>
          <w:rFonts w:cs="Calibri"/>
        </w:rPr>
        <w:t xml:space="preserve"> required to complete that process</w:t>
      </w:r>
      <w:r w:rsidRPr="00467115">
        <w:rPr>
          <w:rFonts w:cs="Calibri"/>
        </w:rPr>
        <w:t xml:space="preserve">. </w:t>
      </w:r>
      <w:r>
        <w:rPr>
          <w:rFonts w:cs="Calibri"/>
        </w:rPr>
        <w:t xml:space="preserve">These were estimated based on data on the beneficiary industries in the supply-use tables but, in this </w:t>
      </w:r>
      <w:r>
        <w:rPr>
          <w:rFonts w:cs="Calibri"/>
        </w:rPr>
        <w:lastRenderedPageBreak/>
        <w:t xml:space="preserve">process, the starting point is to establish an explicit role for the stimulus provided to the ‘beneficiary’ industries </w:t>
      </w:r>
      <w:proofErr w:type="gramStart"/>
      <w:r>
        <w:rPr>
          <w:rFonts w:cs="Calibri"/>
        </w:rPr>
        <w:t>as a result of</w:t>
      </w:r>
      <w:proofErr w:type="gramEnd"/>
      <w:r>
        <w:rPr>
          <w:rFonts w:cs="Calibri"/>
        </w:rPr>
        <w:t xml:space="preserve"> HA investments (as opposed to HA activities). </w:t>
      </w:r>
    </w:p>
    <w:p w14:paraId="6EC1130D" w14:textId="6408C19E" w:rsidR="00830D25" w:rsidRPr="005A7EA7" w:rsidRDefault="00B30EAA" w:rsidP="007D3E32">
      <w:pPr>
        <w:spacing w:line="276" w:lineRule="auto"/>
        <w:jc w:val="both"/>
        <w:rPr>
          <w:rFonts w:cs="Calibri"/>
        </w:rPr>
      </w:pPr>
      <w:r>
        <w:rPr>
          <w:rFonts w:cs="Calibri"/>
        </w:rPr>
        <w:t xml:space="preserve">This included establishing a ‘composite’ supply chain for the beneficiary industries. </w:t>
      </w:r>
      <w:r w:rsidRPr="00E853F8">
        <w:rPr>
          <w:rFonts w:cs="Calibri"/>
        </w:rPr>
        <w:fldChar w:fldCharType="begin"/>
      </w:r>
      <w:r w:rsidRPr="00E853F8">
        <w:rPr>
          <w:rFonts w:cs="Calibri"/>
        </w:rPr>
        <w:instrText xml:space="preserve"> REF _Ref343503003 \h  \* MERGEFORMAT </w:instrText>
      </w:r>
      <w:r w:rsidRPr="00E853F8">
        <w:rPr>
          <w:rFonts w:cs="Calibri"/>
        </w:rPr>
      </w:r>
      <w:r w:rsidRPr="00E853F8">
        <w:rPr>
          <w:rFonts w:cs="Calibri"/>
        </w:rPr>
        <w:fldChar w:fldCharType="separate"/>
      </w:r>
      <w:r w:rsidRPr="004658C7">
        <w:rPr>
          <w:rFonts w:cs="Calibri"/>
        </w:rPr>
        <w:t>Table 6</w:t>
      </w:r>
      <w:r w:rsidRPr="00E853F8">
        <w:rPr>
          <w:rFonts w:cs="Calibri"/>
        </w:rPr>
        <w:fldChar w:fldCharType="end"/>
      </w:r>
      <w:r w:rsidRPr="00E853F8">
        <w:rPr>
          <w:rFonts w:cs="Calibri"/>
        </w:rPr>
        <w:t xml:space="preserve"> </w:t>
      </w:r>
      <w:r>
        <w:rPr>
          <w:rFonts w:cs="Calibri"/>
        </w:rPr>
        <w:t>presents the structure of this composite supply chain of the industries that deliver the goods and services required to realise new investment in affordable homes.</w:t>
      </w:r>
      <w:bookmarkStart w:id="25" w:name="_Ref343503003"/>
    </w:p>
    <w:p w14:paraId="22EA3923" w14:textId="6FAD164A" w:rsidR="00B30EAA" w:rsidRDefault="00B30EAA" w:rsidP="00B30EAA">
      <w:pPr>
        <w:pStyle w:val="Caption"/>
        <w:rPr>
          <w:noProof/>
          <w:lang w:eastAsia="en-GB"/>
        </w:rPr>
      </w:pPr>
      <w:r w:rsidRPr="007D3E32">
        <w:t xml:space="preserve">Table </w:t>
      </w:r>
      <w:r w:rsidR="00E6080E" w:rsidRPr="007D3E32">
        <w:fldChar w:fldCharType="begin"/>
      </w:r>
      <w:r w:rsidR="00E6080E" w:rsidRPr="007D3E32">
        <w:instrText xml:space="preserve"> SEQ Table \* ARABIC </w:instrText>
      </w:r>
      <w:r w:rsidR="00E6080E" w:rsidRPr="007D3E32">
        <w:fldChar w:fldCharType="separate"/>
      </w:r>
      <w:r w:rsidR="00142F7F" w:rsidRPr="007D3E32">
        <w:rPr>
          <w:noProof/>
        </w:rPr>
        <w:t>6</w:t>
      </w:r>
      <w:r w:rsidR="00E6080E" w:rsidRPr="007D3E32">
        <w:rPr>
          <w:noProof/>
        </w:rPr>
        <w:fldChar w:fldCharType="end"/>
      </w:r>
      <w:bookmarkEnd w:id="25"/>
      <w:r w:rsidRPr="007D3E32">
        <w:t>: The ‘composite’ supply chain of the beneficiary industries</w:t>
      </w:r>
      <w:r w:rsidR="00830D25" w:rsidRPr="007D3E32">
        <w:rPr>
          <w:rStyle w:val="FootnoteReference"/>
        </w:rPr>
        <w:footnoteReference w:id="11"/>
      </w:r>
    </w:p>
    <w:tbl>
      <w:tblPr>
        <w:tblW w:w="4089" w:type="pct"/>
        <w:jc w:val="center"/>
        <w:tblLook w:val="04A0" w:firstRow="1" w:lastRow="0" w:firstColumn="1" w:lastColumn="0" w:noHBand="0" w:noVBand="1"/>
      </w:tblPr>
      <w:tblGrid>
        <w:gridCol w:w="6070"/>
        <w:gridCol w:w="1295"/>
      </w:tblGrid>
      <w:tr w:rsidR="00B30EAA" w:rsidRPr="00BF23A7" w14:paraId="1DB66A4D" w14:textId="77777777" w:rsidTr="00B30EAA">
        <w:trPr>
          <w:trHeight w:val="290"/>
          <w:tblHeader/>
          <w:jc w:val="center"/>
        </w:trPr>
        <w:tc>
          <w:tcPr>
            <w:tcW w:w="4182" w:type="pct"/>
            <w:tcBorders>
              <w:top w:val="single" w:sz="8" w:space="0" w:color="auto"/>
              <w:left w:val="single" w:sz="8" w:space="0" w:color="auto"/>
              <w:bottom w:val="single" w:sz="8" w:space="0" w:color="auto"/>
              <w:right w:val="single" w:sz="8" w:space="0" w:color="auto"/>
            </w:tcBorders>
            <w:shd w:val="clear" w:color="000000" w:fill="008C9B"/>
            <w:vAlign w:val="center"/>
            <w:hideMark/>
          </w:tcPr>
          <w:p w14:paraId="0E9EC610" w14:textId="77777777" w:rsidR="00B30EAA" w:rsidRPr="00BF23A7" w:rsidRDefault="00B30EAA" w:rsidP="00B30EAA">
            <w:pPr>
              <w:spacing w:after="0"/>
              <w:rPr>
                <w:rFonts w:eastAsia="Times New Roman"/>
                <w:b/>
                <w:bCs/>
                <w:color w:val="FFFFFF"/>
                <w:sz w:val="20"/>
                <w:lang w:eastAsia="en-GB"/>
              </w:rPr>
            </w:pPr>
            <w:r w:rsidRPr="00BF23A7">
              <w:rPr>
                <w:rFonts w:eastAsia="Times New Roman"/>
                <w:b/>
                <w:bCs/>
                <w:color w:val="FFFFFF"/>
                <w:sz w:val="20"/>
                <w:lang w:eastAsia="en-GB"/>
              </w:rPr>
              <w:t>Sector</w:t>
            </w:r>
          </w:p>
        </w:tc>
        <w:tc>
          <w:tcPr>
            <w:tcW w:w="818" w:type="pct"/>
            <w:tcBorders>
              <w:top w:val="single" w:sz="8" w:space="0" w:color="auto"/>
              <w:left w:val="nil"/>
              <w:bottom w:val="single" w:sz="8" w:space="0" w:color="auto"/>
              <w:right w:val="single" w:sz="8" w:space="0" w:color="auto"/>
            </w:tcBorders>
            <w:shd w:val="clear" w:color="000000" w:fill="008C9B"/>
            <w:vAlign w:val="center"/>
          </w:tcPr>
          <w:p w14:paraId="7C211F30" w14:textId="77777777" w:rsidR="00B30EAA" w:rsidRPr="00BF23A7" w:rsidRDefault="00B30EAA" w:rsidP="00B30EAA">
            <w:pPr>
              <w:spacing w:after="0"/>
              <w:jc w:val="center"/>
              <w:rPr>
                <w:rFonts w:eastAsia="Times New Roman"/>
                <w:b/>
                <w:bCs/>
                <w:color w:val="FFFFFF"/>
                <w:sz w:val="20"/>
                <w:lang w:eastAsia="en-GB"/>
              </w:rPr>
            </w:pPr>
            <w:r w:rsidRPr="00BF23A7">
              <w:rPr>
                <w:rFonts w:eastAsia="Times New Roman"/>
                <w:b/>
                <w:bCs/>
                <w:color w:val="FFFFFF"/>
                <w:sz w:val="20"/>
                <w:lang w:eastAsia="en-GB"/>
              </w:rPr>
              <w:t>Percentage of Total</w:t>
            </w:r>
          </w:p>
        </w:tc>
      </w:tr>
      <w:tr w:rsidR="00B30EAA" w:rsidRPr="00BF23A7" w14:paraId="702CD0B6" w14:textId="77777777" w:rsidTr="00B30EAA">
        <w:trPr>
          <w:trHeight w:val="172"/>
          <w:jc w:val="center"/>
        </w:trPr>
        <w:tc>
          <w:tcPr>
            <w:tcW w:w="4182" w:type="pct"/>
            <w:tcBorders>
              <w:top w:val="nil"/>
              <w:left w:val="single" w:sz="8" w:space="0" w:color="auto"/>
              <w:bottom w:val="nil"/>
              <w:right w:val="single" w:sz="8" w:space="0" w:color="auto"/>
            </w:tcBorders>
            <w:shd w:val="clear" w:color="auto" w:fill="auto"/>
            <w:vAlign w:val="center"/>
            <w:hideMark/>
          </w:tcPr>
          <w:p w14:paraId="7A18DB2B" w14:textId="77777777" w:rsidR="00B30EAA" w:rsidRPr="00830D25" w:rsidRDefault="00B30EAA" w:rsidP="00B30EAA">
            <w:pPr>
              <w:spacing w:after="0"/>
              <w:rPr>
                <w:rFonts w:eastAsia="Times New Roman"/>
                <w:color w:val="000000" w:themeColor="text1"/>
                <w:sz w:val="20"/>
                <w:lang w:eastAsia="en-GB"/>
              </w:rPr>
            </w:pPr>
            <w:r w:rsidRPr="00830D25">
              <w:rPr>
                <w:rFonts w:eastAsia="Times New Roman"/>
                <w:color w:val="000000" w:themeColor="text1"/>
                <w:sz w:val="20"/>
                <w:lang w:eastAsia="en-GB"/>
              </w:rPr>
              <w:t xml:space="preserve">Manufacturing </w:t>
            </w:r>
          </w:p>
        </w:tc>
        <w:tc>
          <w:tcPr>
            <w:tcW w:w="818" w:type="pct"/>
            <w:tcBorders>
              <w:top w:val="nil"/>
              <w:left w:val="nil"/>
              <w:bottom w:val="nil"/>
              <w:right w:val="single" w:sz="8" w:space="0" w:color="auto"/>
            </w:tcBorders>
            <w:vAlign w:val="center"/>
          </w:tcPr>
          <w:p w14:paraId="269D009A" w14:textId="77777777" w:rsidR="00B30EAA" w:rsidRPr="00830D25" w:rsidRDefault="00B30EAA" w:rsidP="00B30EAA">
            <w:pPr>
              <w:spacing w:after="0"/>
              <w:jc w:val="center"/>
              <w:rPr>
                <w:rFonts w:asciiTheme="minorHAnsi" w:eastAsia="Times New Roman" w:hAnsiTheme="minorHAnsi" w:cstheme="minorHAnsi"/>
                <w:color w:val="000000" w:themeColor="text1"/>
                <w:sz w:val="20"/>
                <w:lang w:eastAsia="en-GB"/>
              </w:rPr>
            </w:pPr>
            <w:r w:rsidRPr="00830D25">
              <w:rPr>
                <w:color w:val="000000" w:themeColor="text1"/>
                <w:sz w:val="20"/>
              </w:rPr>
              <w:t>24.58%</w:t>
            </w:r>
          </w:p>
        </w:tc>
      </w:tr>
      <w:tr w:rsidR="00B30EAA" w:rsidRPr="00BF23A7" w14:paraId="09DA199A" w14:textId="77777777" w:rsidTr="00B30EAA">
        <w:trPr>
          <w:trHeight w:val="172"/>
          <w:jc w:val="center"/>
        </w:trPr>
        <w:tc>
          <w:tcPr>
            <w:tcW w:w="4182" w:type="pct"/>
            <w:tcBorders>
              <w:top w:val="nil"/>
              <w:left w:val="single" w:sz="8" w:space="0" w:color="auto"/>
              <w:bottom w:val="nil"/>
              <w:right w:val="single" w:sz="8" w:space="0" w:color="auto"/>
            </w:tcBorders>
            <w:shd w:val="clear" w:color="auto" w:fill="auto"/>
            <w:vAlign w:val="center"/>
            <w:hideMark/>
          </w:tcPr>
          <w:p w14:paraId="024FBBE0" w14:textId="77777777" w:rsidR="00B30EAA" w:rsidRPr="00830D25" w:rsidRDefault="00B30EAA" w:rsidP="00B30EAA">
            <w:pPr>
              <w:spacing w:after="0"/>
              <w:rPr>
                <w:rFonts w:eastAsia="Times New Roman"/>
                <w:color w:val="000000" w:themeColor="text1"/>
                <w:sz w:val="20"/>
                <w:lang w:eastAsia="en-GB"/>
              </w:rPr>
            </w:pPr>
            <w:r w:rsidRPr="00830D25">
              <w:rPr>
                <w:rFonts w:eastAsia="Times New Roman"/>
                <w:color w:val="000000" w:themeColor="text1"/>
                <w:sz w:val="20"/>
                <w:lang w:eastAsia="en-GB"/>
              </w:rPr>
              <w:t>Construction</w:t>
            </w:r>
          </w:p>
        </w:tc>
        <w:tc>
          <w:tcPr>
            <w:tcW w:w="818" w:type="pct"/>
            <w:tcBorders>
              <w:top w:val="nil"/>
              <w:left w:val="nil"/>
              <w:bottom w:val="nil"/>
              <w:right w:val="single" w:sz="8" w:space="0" w:color="auto"/>
            </w:tcBorders>
            <w:vAlign w:val="center"/>
          </w:tcPr>
          <w:p w14:paraId="47E72743" w14:textId="77777777" w:rsidR="00B30EAA" w:rsidRPr="00830D25" w:rsidRDefault="00B30EAA" w:rsidP="00B30EAA">
            <w:pPr>
              <w:spacing w:after="0"/>
              <w:jc w:val="center"/>
              <w:rPr>
                <w:rFonts w:asciiTheme="minorHAnsi" w:eastAsia="Times New Roman" w:hAnsiTheme="minorHAnsi" w:cstheme="minorHAnsi"/>
                <w:color w:val="000000" w:themeColor="text1"/>
                <w:sz w:val="20"/>
                <w:lang w:eastAsia="en-GB"/>
              </w:rPr>
            </w:pPr>
            <w:r w:rsidRPr="00830D25">
              <w:rPr>
                <w:color w:val="000000" w:themeColor="text1"/>
                <w:sz w:val="20"/>
              </w:rPr>
              <w:t>32.38%</w:t>
            </w:r>
          </w:p>
        </w:tc>
      </w:tr>
      <w:tr w:rsidR="00B30EAA" w:rsidRPr="00BF23A7" w14:paraId="1716001F" w14:textId="77777777" w:rsidTr="00B30EAA">
        <w:trPr>
          <w:trHeight w:val="172"/>
          <w:jc w:val="center"/>
        </w:trPr>
        <w:tc>
          <w:tcPr>
            <w:tcW w:w="4182" w:type="pct"/>
            <w:tcBorders>
              <w:top w:val="nil"/>
              <w:left w:val="single" w:sz="8" w:space="0" w:color="auto"/>
              <w:bottom w:val="nil"/>
              <w:right w:val="single" w:sz="8" w:space="0" w:color="auto"/>
            </w:tcBorders>
            <w:shd w:val="clear" w:color="auto" w:fill="auto"/>
            <w:vAlign w:val="center"/>
            <w:hideMark/>
          </w:tcPr>
          <w:p w14:paraId="0F14CE6A" w14:textId="77777777" w:rsidR="00B30EAA" w:rsidRPr="00830D25" w:rsidRDefault="00B30EAA" w:rsidP="00B30EAA">
            <w:pPr>
              <w:spacing w:after="0"/>
              <w:rPr>
                <w:rFonts w:eastAsia="Times New Roman"/>
                <w:color w:val="000000" w:themeColor="text1"/>
                <w:sz w:val="20"/>
                <w:lang w:eastAsia="en-GB"/>
              </w:rPr>
            </w:pPr>
            <w:r w:rsidRPr="00830D25">
              <w:rPr>
                <w:rFonts w:eastAsia="Times New Roman"/>
                <w:color w:val="000000" w:themeColor="text1"/>
                <w:sz w:val="20"/>
                <w:lang w:eastAsia="en-GB"/>
              </w:rPr>
              <w:t>Administrative and Support Service Activities</w:t>
            </w:r>
          </w:p>
        </w:tc>
        <w:tc>
          <w:tcPr>
            <w:tcW w:w="818" w:type="pct"/>
            <w:tcBorders>
              <w:top w:val="nil"/>
              <w:left w:val="nil"/>
              <w:bottom w:val="nil"/>
              <w:right w:val="single" w:sz="8" w:space="0" w:color="auto"/>
            </w:tcBorders>
            <w:vAlign w:val="center"/>
          </w:tcPr>
          <w:p w14:paraId="2C3F6517" w14:textId="77777777" w:rsidR="00B30EAA" w:rsidRPr="00830D25" w:rsidRDefault="00B30EAA" w:rsidP="00B30EAA">
            <w:pPr>
              <w:spacing w:after="0"/>
              <w:jc w:val="center"/>
              <w:rPr>
                <w:rFonts w:asciiTheme="minorHAnsi" w:eastAsia="Times New Roman" w:hAnsiTheme="minorHAnsi" w:cstheme="minorHAnsi"/>
                <w:color w:val="000000" w:themeColor="text1"/>
                <w:sz w:val="20"/>
                <w:lang w:eastAsia="en-GB"/>
              </w:rPr>
            </w:pPr>
            <w:r w:rsidRPr="00830D25">
              <w:rPr>
                <w:color w:val="000000" w:themeColor="text1"/>
                <w:sz w:val="20"/>
              </w:rPr>
              <w:t>11.04%</w:t>
            </w:r>
          </w:p>
        </w:tc>
      </w:tr>
      <w:tr w:rsidR="00B30EAA" w:rsidRPr="00BF23A7" w14:paraId="0040757D" w14:textId="77777777" w:rsidTr="00B30EAA">
        <w:trPr>
          <w:trHeight w:val="172"/>
          <w:jc w:val="center"/>
        </w:trPr>
        <w:tc>
          <w:tcPr>
            <w:tcW w:w="4182" w:type="pct"/>
            <w:tcBorders>
              <w:top w:val="nil"/>
              <w:left w:val="single" w:sz="8" w:space="0" w:color="auto"/>
              <w:bottom w:val="nil"/>
              <w:right w:val="single" w:sz="8" w:space="0" w:color="auto"/>
            </w:tcBorders>
            <w:shd w:val="clear" w:color="auto" w:fill="auto"/>
            <w:vAlign w:val="center"/>
            <w:hideMark/>
          </w:tcPr>
          <w:p w14:paraId="420F53CB" w14:textId="77777777" w:rsidR="00B30EAA" w:rsidRPr="00830D25" w:rsidRDefault="00B30EAA" w:rsidP="00B30EAA">
            <w:pPr>
              <w:spacing w:after="0"/>
              <w:rPr>
                <w:rFonts w:eastAsia="Times New Roman"/>
                <w:color w:val="000000" w:themeColor="text1"/>
                <w:sz w:val="20"/>
                <w:lang w:eastAsia="en-GB"/>
              </w:rPr>
            </w:pPr>
            <w:r w:rsidRPr="00830D25">
              <w:rPr>
                <w:rFonts w:eastAsia="Times New Roman"/>
                <w:color w:val="000000" w:themeColor="text1"/>
                <w:sz w:val="20"/>
                <w:lang w:eastAsia="en-GB"/>
              </w:rPr>
              <w:t>Professional Scientific and Technical Activities</w:t>
            </w:r>
          </w:p>
        </w:tc>
        <w:tc>
          <w:tcPr>
            <w:tcW w:w="818" w:type="pct"/>
            <w:tcBorders>
              <w:top w:val="nil"/>
              <w:left w:val="nil"/>
              <w:bottom w:val="nil"/>
              <w:right w:val="single" w:sz="8" w:space="0" w:color="auto"/>
            </w:tcBorders>
            <w:vAlign w:val="center"/>
          </w:tcPr>
          <w:p w14:paraId="610E64DE" w14:textId="77777777" w:rsidR="00B30EAA" w:rsidRPr="00830D25" w:rsidRDefault="00B30EAA" w:rsidP="00B30EAA">
            <w:pPr>
              <w:spacing w:after="0"/>
              <w:jc w:val="center"/>
              <w:rPr>
                <w:rFonts w:asciiTheme="minorHAnsi" w:eastAsia="Times New Roman" w:hAnsiTheme="minorHAnsi" w:cstheme="minorHAnsi"/>
                <w:color w:val="000000" w:themeColor="text1"/>
                <w:sz w:val="20"/>
                <w:lang w:eastAsia="en-GB"/>
              </w:rPr>
            </w:pPr>
            <w:r w:rsidRPr="00830D25">
              <w:rPr>
                <w:color w:val="000000" w:themeColor="text1"/>
                <w:sz w:val="20"/>
              </w:rPr>
              <w:t>11.02%</w:t>
            </w:r>
          </w:p>
        </w:tc>
      </w:tr>
      <w:tr w:rsidR="00B30EAA" w:rsidRPr="00BF23A7" w14:paraId="6DD4B689" w14:textId="77777777" w:rsidTr="00B30EAA">
        <w:trPr>
          <w:trHeight w:val="172"/>
          <w:jc w:val="center"/>
        </w:trPr>
        <w:tc>
          <w:tcPr>
            <w:tcW w:w="4182" w:type="pct"/>
            <w:tcBorders>
              <w:top w:val="nil"/>
              <w:left w:val="single" w:sz="8" w:space="0" w:color="auto"/>
              <w:bottom w:val="nil"/>
              <w:right w:val="single" w:sz="8" w:space="0" w:color="auto"/>
            </w:tcBorders>
            <w:shd w:val="clear" w:color="auto" w:fill="auto"/>
            <w:vAlign w:val="center"/>
            <w:hideMark/>
          </w:tcPr>
          <w:p w14:paraId="43E7F1E9" w14:textId="77777777" w:rsidR="00B30EAA" w:rsidRPr="00830D25" w:rsidRDefault="00B30EAA" w:rsidP="00B30EAA">
            <w:pPr>
              <w:spacing w:after="0"/>
              <w:rPr>
                <w:rFonts w:eastAsia="Times New Roman"/>
                <w:color w:val="000000" w:themeColor="text1"/>
                <w:sz w:val="20"/>
                <w:lang w:eastAsia="en-GB"/>
              </w:rPr>
            </w:pPr>
            <w:r w:rsidRPr="00830D25">
              <w:rPr>
                <w:rFonts w:eastAsia="Times New Roman"/>
                <w:color w:val="000000" w:themeColor="text1"/>
                <w:sz w:val="20"/>
                <w:lang w:eastAsia="en-GB"/>
              </w:rPr>
              <w:t>Transportation and Storage</w:t>
            </w:r>
          </w:p>
        </w:tc>
        <w:tc>
          <w:tcPr>
            <w:tcW w:w="818" w:type="pct"/>
            <w:tcBorders>
              <w:top w:val="nil"/>
              <w:left w:val="nil"/>
              <w:bottom w:val="nil"/>
              <w:right w:val="single" w:sz="8" w:space="0" w:color="auto"/>
            </w:tcBorders>
            <w:vAlign w:val="center"/>
          </w:tcPr>
          <w:p w14:paraId="343845A6" w14:textId="77777777" w:rsidR="00B30EAA" w:rsidRPr="00830D25" w:rsidRDefault="00B30EAA" w:rsidP="00B30EAA">
            <w:pPr>
              <w:spacing w:after="0"/>
              <w:jc w:val="center"/>
              <w:rPr>
                <w:rFonts w:asciiTheme="minorHAnsi" w:eastAsia="Times New Roman" w:hAnsiTheme="minorHAnsi" w:cstheme="minorHAnsi"/>
                <w:color w:val="000000" w:themeColor="text1"/>
                <w:sz w:val="20"/>
                <w:lang w:eastAsia="en-GB"/>
              </w:rPr>
            </w:pPr>
            <w:r w:rsidRPr="00830D25">
              <w:rPr>
                <w:color w:val="000000" w:themeColor="text1"/>
                <w:sz w:val="20"/>
              </w:rPr>
              <w:t>2.50%</w:t>
            </w:r>
          </w:p>
        </w:tc>
      </w:tr>
      <w:tr w:rsidR="00B30EAA" w:rsidRPr="00BF23A7" w14:paraId="5A91D36E" w14:textId="77777777" w:rsidTr="00B30EAA">
        <w:trPr>
          <w:trHeight w:val="172"/>
          <w:jc w:val="center"/>
        </w:trPr>
        <w:tc>
          <w:tcPr>
            <w:tcW w:w="4182" w:type="pct"/>
            <w:tcBorders>
              <w:top w:val="nil"/>
              <w:left w:val="single" w:sz="8" w:space="0" w:color="auto"/>
              <w:bottom w:val="nil"/>
              <w:right w:val="single" w:sz="8" w:space="0" w:color="auto"/>
            </w:tcBorders>
            <w:shd w:val="clear" w:color="auto" w:fill="auto"/>
            <w:vAlign w:val="center"/>
            <w:hideMark/>
          </w:tcPr>
          <w:p w14:paraId="146B9FAE" w14:textId="77777777" w:rsidR="00B30EAA" w:rsidRPr="00830D25" w:rsidRDefault="00B30EAA" w:rsidP="00B30EAA">
            <w:pPr>
              <w:spacing w:after="0"/>
              <w:rPr>
                <w:rFonts w:eastAsia="Times New Roman"/>
                <w:color w:val="000000" w:themeColor="text1"/>
                <w:sz w:val="20"/>
                <w:lang w:eastAsia="en-GB"/>
              </w:rPr>
            </w:pPr>
            <w:r w:rsidRPr="00830D25">
              <w:rPr>
                <w:rFonts w:eastAsia="Times New Roman"/>
                <w:color w:val="000000" w:themeColor="text1"/>
                <w:sz w:val="20"/>
                <w:lang w:eastAsia="en-GB"/>
              </w:rPr>
              <w:t>Mining and Quarrying</w:t>
            </w:r>
          </w:p>
        </w:tc>
        <w:tc>
          <w:tcPr>
            <w:tcW w:w="818" w:type="pct"/>
            <w:tcBorders>
              <w:top w:val="nil"/>
              <w:left w:val="nil"/>
              <w:bottom w:val="nil"/>
              <w:right w:val="single" w:sz="8" w:space="0" w:color="auto"/>
            </w:tcBorders>
            <w:vAlign w:val="center"/>
          </w:tcPr>
          <w:p w14:paraId="7FD99E10" w14:textId="77777777" w:rsidR="00B30EAA" w:rsidRPr="00830D25" w:rsidRDefault="00B30EAA" w:rsidP="00B30EAA">
            <w:pPr>
              <w:spacing w:after="0"/>
              <w:jc w:val="center"/>
              <w:rPr>
                <w:rFonts w:asciiTheme="minorHAnsi" w:eastAsia="Times New Roman" w:hAnsiTheme="minorHAnsi" w:cstheme="minorHAnsi"/>
                <w:color w:val="000000" w:themeColor="text1"/>
                <w:sz w:val="20"/>
                <w:lang w:eastAsia="en-GB"/>
              </w:rPr>
            </w:pPr>
            <w:r w:rsidRPr="00830D25">
              <w:rPr>
                <w:color w:val="000000" w:themeColor="text1"/>
                <w:sz w:val="20"/>
              </w:rPr>
              <w:t>2.60%</w:t>
            </w:r>
          </w:p>
        </w:tc>
      </w:tr>
      <w:tr w:rsidR="00B30EAA" w:rsidRPr="003F15C9" w14:paraId="7CC52F88" w14:textId="77777777" w:rsidTr="00B30EAA">
        <w:trPr>
          <w:trHeight w:val="172"/>
          <w:jc w:val="center"/>
        </w:trPr>
        <w:tc>
          <w:tcPr>
            <w:tcW w:w="4182" w:type="pct"/>
            <w:tcBorders>
              <w:top w:val="nil"/>
              <w:left w:val="single" w:sz="8" w:space="0" w:color="auto"/>
              <w:bottom w:val="nil"/>
              <w:right w:val="single" w:sz="8" w:space="0" w:color="auto"/>
            </w:tcBorders>
            <w:shd w:val="clear" w:color="auto" w:fill="auto"/>
            <w:vAlign w:val="center"/>
            <w:hideMark/>
          </w:tcPr>
          <w:p w14:paraId="27691A79" w14:textId="77777777" w:rsidR="00B30EAA" w:rsidRPr="00830D25" w:rsidRDefault="00B30EAA" w:rsidP="00B30EAA">
            <w:pPr>
              <w:spacing w:after="0"/>
              <w:rPr>
                <w:rFonts w:eastAsia="Times New Roman"/>
                <w:color w:val="000000" w:themeColor="text1"/>
                <w:sz w:val="20"/>
                <w:lang w:eastAsia="en-GB"/>
              </w:rPr>
            </w:pPr>
            <w:r w:rsidRPr="00830D25">
              <w:rPr>
                <w:rFonts w:eastAsia="Times New Roman"/>
                <w:color w:val="000000" w:themeColor="text1"/>
                <w:sz w:val="20"/>
                <w:lang w:eastAsia="en-GB"/>
              </w:rPr>
              <w:t>Public Administration and Defence; Compulsory Social Security</w:t>
            </w:r>
          </w:p>
        </w:tc>
        <w:tc>
          <w:tcPr>
            <w:tcW w:w="818" w:type="pct"/>
            <w:tcBorders>
              <w:top w:val="nil"/>
              <w:left w:val="nil"/>
              <w:bottom w:val="nil"/>
              <w:right w:val="single" w:sz="8" w:space="0" w:color="auto"/>
            </w:tcBorders>
            <w:vAlign w:val="center"/>
          </w:tcPr>
          <w:p w14:paraId="062962EF" w14:textId="77777777" w:rsidR="00B30EAA" w:rsidRPr="00830D25" w:rsidRDefault="00B30EAA" w:rsidP="00B30EAA">
            <w:pPr>
              <w:spacing w:after="0"/>
              <w:jc w:val="center"/>
              <w:rPr>
                <w:rFonts w:eastAsia="Times New Roman"/>
                <w:color w:val="000000" w:themeColor="text1"/>
                <w:sz w:val="20"/>
                <w:lang w:eastAsia="en-GB"/>
              </w:rPr>
            </w:pPr>
            <w:r w:rsidRPr="00830D25">
              <w:rPr>
                <w:color w:val="000000" w:themeColor="text1"/>
                <w:sz w:val="20"/>
              </w:rPr>
              <w:t>1.29%</w:t>
            </w:r>
          </w:p>
        </w:tc>
      </w:tr>
      <w:tr w:rsidR="00B30EAA" w:rsidRPr="00BF23A7" w14:paraId="51BA09BD" w14:textId="77777777" w:rsidTr="00B30EAA">
        <w:trPr>
          <w:trHeight w:val="172"/>
          <w:jc w:val="center"/>
        </w:trPr>
        <w:tc>
          <w:tcPr>
            <w:tcW w:w="4182" w:type="pct"/>
            <w:tcBorders>
              <w:top w:val="nil"/>
              <w:left w:val="single" w:sz="8" w:space="0" w:color="auto"/>
              <w:bottom w:val="nil"/>
              <w:right w:val="single" w:sz="8" w:space="0" w:color="auto"/>
            </w:tcBorders>
            <w:shd w:val="clear" w:color="auto" w:fill="auto"/>
            <w:vAlign w:val="center"/>
            <w:hideMark/>
          </w:tcPr>
          <w:p w14:paraId="33BD63E7" w14:textId="77777777" w:rsidR="00B30EAA" w:rsidRPr="00830D25" w:rsidRDefault="00B30EAA" w:rsidP="00B30EAA">
            <w:pPr>
              <w:spacing w:after="0"/>
              <w:rPr>
                <w:rFonts w:eastAsia="Times New Roman"/>
                <w:color w:val="000000" w:themeColor="text1"/>
                <w:sz w:val="20"/>
                <w:lang w:eastAsia="en-GB"/>
              </w:rPr>
            </w:pPr>
            <w:r w:rsidRPr="00830D25">
              <w:rPr>
                <w:rFonts w:eastAsia="Times New Roman"/>
                <w:color w:val="000000" w:themeColor="text1"/>
                <w:sz w:val="20"/>
                <w:lang w:eastAsia="en-GB"/>
              </w:rPr>
              <w:t>Financial and Insurance Activities</w:t>
            </w:r>
          </w:p>
        </w:tc>
        <w:tc>
          <w:tcPr>
            <w:tcW w:w="818" w:type="pct"/>
            <w:tcBorders>
              <w:top w:val="nil"/>
              <w:left w:val="nil"/>
              <w:bottom w:val="nil"/>
              <w:right w:val="single" w:sz="8" w:space="0" w:color="auto"/>
            </w:tcBorders>
            <w:vAlign w:val="center"/>
          </w:tcPr>
          <w:p w14:paraId="03AE5330" w14:textId="77777777" w:rsidR="00B30EAA" w:rsidRPr="00830D25" w:rsidRDefault="00B30EAA" w:rsidP="00B30EAA">
            <w:pPr>
              <w:spacing w:after="0"/>
              <w:jc w:val="center"/>
              <w:rPr>
                <w:rFonts w:asciiTheme="minorHAnsi" w:eastAsia="Times New Roman" w:hAnsiTheme="minorHAnsi" w:cstheme="minorHAnsi"/>
                <w:color w:val="000000" w:themeColor="text1"/>
                <w:sz w:val="20"/>
                <w:lang w:eastAsia="en-GB"/>
              </w:rPr>
            </w:pPr>
            <w:r w:rsidRPr="00830D25">
              <w:rPr>
                <w:color w:val="000000" w:themeColor="text1"/>
                <w:sz w:val="20"/>
              </w:rPr>
              <w:t>3.63%</w:t>
            </w:r>
          </w:p>
        </w:tc>
      </w:tr>
      <w:tr w:rsidR="00B30EAA" w:rsidRPr="00BF23A7" w14:paraId="3257314B" w14:textId="77777777" w:rsidTr="00B30EAA">
        <w:trPr>
          <w:trHeight w:val="172"/>
          <w:jc w:val="center"/>
        </w:trPr>
        <w:tc>
          <w:tcPr>
            <w:tcW w:w="4182" w:type="pct"/>
            <w:tcBorders>
              <w:top w:val="nil"/>
              <w:left w:val="single" w:sz="8" w:space="0" w:color="auto"/>
              <w:bottom w:val="nil"/>
              <w:right w:val="single" w:sz="8" w:space="0" w:color="auto"/>
            </w:tcBorders>
            <w:shd w:val="clear" w:color="auto" w:fill="auto"/>
            <w:vAlign w:val="center"/>
            <w:hideMark/>
          </w:tcPr>
          <w:p w14:paraId="6914856E" w14:textId="77777777" w:rsidR="00B30EAA" w:rsidRPr="00830D25" w:rsidRDefault="00B30EAA" w:rsidP="00B30EAA">
            <w:pPr>
              <w:spacing w:after="0"/>
              <w:rPr>
                <w:rFonts w:eastAsia="Times New Roman"/>
                <w:color w:val="000000" w:themeColor="text1"/>
                <w:sz w:val="20"/>
                <w:lang w:eastAsia="en-GB"/>
              </w:rPr>
            </w:pPr>
            <w:r w:rsidRPr="00830D25">
              <w:rPr>
                <w:rFonts w:eastAsia="Times New Roman"/>
                <w:color w:val="000000" w:themeColor="text1"/>
                <w:sz w:val="20"/>
                <w:lang w:eastAsia="en-GB"/>
              </w:rPr>
              <w:t>Information and Communication</w:t>
            </w:r>
          </w:p>
        </w:tc>
        <w:tc>
          <w:tcPr>
            <w:tcW w:w="818" w:type="pct"/>
            <w:tcBorders>
              <w:top w:val="nil"/>
              <w:left w:val="nil"/>
              <w:bottom w:val="nil"/>
              <w:right w:val="single" w:sz="8" w:space="0" w:color="auto"/>
            </w:tcBorders>
            <w:vAlign w:val="center"/>
          </w:tcPr>
          <w:p w14:paraId="534FAAC5" w14:textId="77777777" w:rsidR="00B30EAA" w:rsidRPr="00830D25" w:rsidRDefault="00B30EAA" w:rsidP="00B30EAA">
            <w:pPr>
              <w:spacing w:after="0"/>
              <w:jc w:val="center"/>
              <w:rPr>
                <w:rFonts w:asciiTheme="minorHAnsi" w:eastAsia="Times New Roman" w:hAnsiTheme="minorHAnsi" w:cstheme="minorHAnsi"/>
                <w:color w:val="000000" w:themeColor="text1"/>
                <w:sz w:val="20"/>
                <w:lang w:eastAsia="en-GB"/>
              </w:rPr>
            </w:pPr>
            <w:r w:rsidRPr="00830D25">
              <w:rPr>
                <w:color w:val="000000" w:themeColor="text1"/>
                <w:sz w:val="20"/>
              </w:rPr>
              <w:t>3.25%</w:t>
            </w:r>
          </w:p>
        </w:tc>
      </w:tr>
      <w:tr w:rsidR="00B30EAA" w:rsidRPr="00BF23A7" w14:paraId="07E48D9F" w14:textId="77777777" w:rsidTr="00B30EAA">
        <w:trPr>
          <w:trHeight w:val="172"/>
          <w:jc w:val="center"/>
        </w:trPr>
        <w:tc>
          <w:tcPr>
            <w:tcW w:w="4182" w:type="pct"/>
            <w:tcBorders>
              <w:top w:val="nil"/>
              <w:left w:val="single" w:sz="8" w:space="0" w:color="auto"/>
              <w:bottom w:val="nil"/>
              <w:right w:val="single" w:sz="8" w:space="0" w:color="auto"/>
            </w:tcBorders>
            <w:shd w:val="clear" w:color="auto" w:fill="auto"/>
            <w:vAlign w:val="center"/>
            <w:hideMark/>
          </w:tcPr>
          <w:p w14:paraId="560AC909" w14:textId="77777777" w:rsidR="00B30EAA" w:rsidRPr="00830D25" w:rsidRDefault="00B30EAA" w:rsidP="00B30EAA">
            <w:pPr>
              <w:spacing w:after="0"/>
              <w:rPr>
                <w:rFonts w:eastAsia="Times New Roman"/>
                <w:color w:val="000000" w:themeColor="text1"/>
                <w:sz w:val="20"/>
                <w:lang w:eastAsia="en-GB"/>
              </w:rPr>
            </w:pPr>
            <w:r w:rsidRPr="00830D25">
              <w:rPr>
                <w:rFonts w:eastAsia="Times New Roman"/>
                <w:color w:val="000000" w:themeColor="text1"/>
                <w:sz w:val="20"/>
                <w:lang w:eastAsia="en-GB"/>
              </w:rPr>
              <w:t>Real Estate Activities</w:t>
            </w:r>
          </w:p>
        </w:tc>
        <w:tc>
          <w:tcPr>
            <w:tcW w:w="818" w:type="pct"/>
            <w:tcBorders>
              <w:top w:val="nil"/>
              <w:left w:val="nil"/>
              <w:bottom w:val="nil"/>
              <w:right w:val="single" w:sz="8" w:space="0" w:color="auto"/>
            </w:tcBorders>
            <w:vAlign w:val="center"/>
          </w:tcPr>
          <w:p w14:paraId="76CF4059" w14:textId="77777777" w:rsidR="00B30EAA" w:rsidRPr="00830D25" w:rsidRDefault="00B30EAA" w:rsidP="00B30EAA">
            <w:pPr>
              <w:spacing w:after="0"/>
              <w:jc w:val="center"/>
              <w:rPr>
                <w:rFonts w:asciiTheme="minorHAnsi" w:eastAsia="Times New Roman" w:hAnsiTheme="minorHAnsi" w:cstheme="minorHAnsi"/>
                <w:color w:val="000000" w:themeColor="text1"/>
                <w:sz w:val="20"/>
                <w:lang w:eastAsia="en-GB"/>
              </w:rPr>
            </w:pPr>
            <w:r w:rsidRPr="00830D25">
              <w:rPr>
                <w:color w:val="000000" w:themeColor="text1"/>
                <w:sz w:val="20"/>
              </w:rPr>
              <w:t>1.33%</w:t>
            </w:r>
          </w:p>
        </w:tc>
      </w:tr>
      <w:tr w:rsidR="00B30EAA" w:rsidRPr="00BF23A7" w14:paraId="09B0EC26" w14:textId="77777777" w:rsidTr="00B30EAA">
        <w:trPr>
          <w:trHeight w:val="172"/>
          <w:jc w:val="center"/>
        </w:trPr>
        <w:tc>
          <w:tcPr>
            <w:tcW w:w="4182" w:type="pct"/>
            <w:tcBorders>
              <w:top w:val="nil"/>
              <w:left w:val="single" w:sz="8" w:space="0" w:color="auto"/>
              <w:bottom w:val="nil"/>
              <w:right w:val="single" w:sz="8" w:space="0" w:color="auto"/>
            </w:tcBorders>
            <w:shd w:val="clear" w:color="auto" w:fill="auto"/>
            <w:vAlign w:val="center"/>
            <w:hideMark/>
          </w:tcPr>
          <w:p w14:paraId="6619C6D4" w14:textId="77777777" w:rsidR="00B30EAA" w:rsidRPr="00830D25" w:rsidRDefault="00B30EAA" w:rsidP="00B30EAA">
            <w:pPr>
              <w:spacing w:after="0"/>
              <w:rPr>
                <w:rFonts w:eastAsia="Times New Roman"/>
                <w:color w:val="000000" w:themeColor="text1"/>
                <w:sz w:val="20"/>
                <w:lang w:eastAsia="en-GB"/>
              </w:rPr>
            </w:pPr>
            <w:r w:rsidRPr="00830D25">
              <w:rPr>
                <w:rFonts w:eastAsia="Times New Roman"/>
                <w:color w:val="000000" w:themeColor="text1"/>
                <w:sz w:val="20"/>
                <w:lang w:eastAsia="en-GB"/>
              </w:rPr>
              <w:t>Electricity, Gas, Steam and Air Conditioning supply</w:t>
            </w:r>
          </w:p>
        </w:tc>
        <w:tc>
          <w:tcPr>
            <w:tcW w:w="818" w:type="pct"/>
            <w:tcBorders>
              <w:top w:val="nil"/>
              <w:left w:val="nil"/>
              <w:bottom w:val="nil"/>
              <w:right w:val="single" w:sz="8" w:space="0" w:color="auto"/>
            </w:tcBorders>
            <w:vAlign w:val="center"/>
          </w:tcPr>
          <w:p w14:paraId="05EDAA75" w14:textId="77777777" w:rsidR="00B30EAA" w:rsidRPr="00830D25" w:rsidRDefault="00B30EAA" w:rsidP="00B30EAA">
            <w:pPr>
              <w:spacing w:after="0"/>
              <w:jc w:val="center"/>
              <w:rPr>
                <w:rFonts w:asciiTheme="minorHAnsi" w:eastAsia="Times New Roman" w:hAnsiTheme="minorHAnsi" w:cstheme="minorHAnsi"/>
                <w:color w:val="000000" w:themeColor="text1"/>
                <w:sz w:val="20"/>
                <w:lang w:eastAsia="en-GB"/>
              </w:rPr>
            </w:pPr>
            <w:r w:rsidRPr="00830D25">
              <w:rPr>
                <w:color w:val="000000" w:themeColor="text1"/>
                <w:sz w:val="20"/>
              </w:rPr>
              <w:t>2.62%</w:t>
            </w:r>
          </w:p>
        </w:tc>
      </w:tr>
      <w:tr w:rsidR="00B30EAA" w:rsidRPr="00BF23A7" w14:paraId="55FCB93E" w14:textId="77777777" w:rsidTr="00B30EAA">
        <w:trPr>
          <w:trHeight w:val="172"/>
          <w:jc w:val="center"/>
        </w:trPr>
        <w:tc>
          <w:tcPr>
            <w:tcW w:w="4182" w:type="pct"/>
            <w:tcBorders>
              <w:top w:val="nil"/>
              <w:left w:val="single" w:sz="8" w:space="0" w:color="auto"/>
              <w:bottom w:val="nil"/>
              <w:right w:val="single" w:sz="8" w:space="0" w:color="auto"/>
            </w:tcBorders>
            <w:shd w:val="clear" w:color="auto" w:fill="auto"/>
            <w:vAlign w:val="center"/>
            <w:hideMark/>
          </w:tcPr>
          <w:p w14:paraId="636036A2" w14:textId="77777777" w:rsidR="00B30EAA" w:rsidRPr="00830D25" w:rsidRDefault="00B30EAA" w:rsidP="00B30EAA">
            <w:pPr>
              <w:spacing w:after="0"/>
              <w:rPr>
                <w:rFonts w:eastAsia="Times New Roman"/>
                <w:color w:val="000000" w:themeColor="text1"/>
                <w:sz w:val="20"/>
                <w:lang w:eastAsia="en-GB"/>
              </w:rPr>
            </w:pPr>
            <w:r w:rsidRPr="00830D25">
              <w:rPr>
                <w:rFonts w:eastAsia="Times New Roman"/>
                <w:color w:val="000000" w:themeColor="text1"/>
                <w:sz w:val="20"/>
                <w:lang w:eastAsia="en-GB"/>
              </w:rPr>
              <w:t>Wholesale and Retail Trade, Repair of Motor Vehicles</w:t>
            </w:r>
          </w:p>
        </w:tc>
        <w:tc>
          <w:tcPr>
            <w:tcW w:w="818" w:type="pct"/>
            <w:tcBorders>
              <w:top w:val="nil"/>
              <w:left w:val="nil"/>
              <w:bottom w:val="nil"/>
              <w:right w:val="single" w:sz="8" w:space="0" w:color="auto"/>
            </w:tcBorders>
            <w:vAlign w:val="center"/>
          </w:tcPr>
          <w:p w14:paraId="7D1CD3F8" w14:textId="77777777" w:rsidR="00B30EAA" w:rsidRPr="00830D25" w:rsidRDefault="00B30EAA" w:rsidP="00B30EAA">
            <w:pPr>
              <w:spacing w:after="0"/>
              <w:jc w:val="center"/>
              <w:rPr>
                <w:rFonts w:asciiTheme="minorHAnsi" w:eastAsia="Times New Roman" w:hAnsiTheme="minorHAnsi" w:cstheme="minorHAnsi"/>
                <w:color w:val="000000" w:themeColor="text1"/>
                <w:sz w:val="20"/>
                <w:lang w:eastAsia="en-GB"/>
              </w:rPr>
            </w:pPr>
            <w:r w:rsidRPr="00830D25">
              <w:rPr>
                <w:color w:val="000000" w:themeColor="text1"/>
                <w:sz w:val="20"/>
              </w:rPr>
              <w:t>1.15%</w:t>
            </w:r>
          </w:p>
        </w:tc>
      </w:tr>
      <w:tr w:rsidR="00B30EAA" w:rsidRPr="00BF23A7" w14:paraId="5320F4C7" w14:textId="77777777" w:rsidTr="00B30EAA">
        <w:trPr>
          <w:trHeight w:val="172"/>
          <w:jc w:val="center"/>
        </w:trPr>
        <w:tc>
          <w:tcPr>
            <w:tcW w:w="4182" w:type="pct"/>
            <w:tcBorders>
              <w:top w:val="nil"/>
              <w:left w:val="single" w:sz="8" w:space="0" w:color="auto"/>
              <w:bottom w:val="nil"/>
              <w:right w:val="single" w:sz="8" w:space="0" w:color="auto"/>
            </w:tcBorders>
            <w:shd w:val="clear" w:color="auto" w:fill="auto"/>
            <w:vAlign w:val="center"/>
            <w:hideMark/>
          </w:tcPr>
          <w:p w14:paraId="5B5B6BF1" w14:textId="77777777" w:rsidR="00B30EAA" w:rsidRPr="00830D25" w:rsidRDefault="00B30EAA" w:rsidP="00B30EAA">
            <w:pPr>
              <w:spacing w:after="0"/>
              <w:rPr>
                <w:rFonts w:eastAsia="Times New Roman"/>
                <w:color w:val="000000" w:themeColor="text1"/>
                <w:sz w:val="20"/>
                <w:lang w:eastAsia="en-GB"/>
              </w:rPr>
            </w:pPr>
            <w:r w:rsidRPr="00830D25">
              <w:rPr>
                <w:rFonts w:eastAsia="Times New Roman"/>
                <w:color w:val="000000" w:themeColor="text1"/>
                <w:sz w:val="20"/>
                <w:lang w:eastAsia="en-GB"/>
              </w:rPr>
              <w:t>Water Supply, Sewerage and Waste Management</w:t>
            </w:r>
          </w:p>
        </w:tc>
        <w:tc>
          <w:tcPr>
            <w:tcW w:w="818" w:type="pct"/>
            <w:tcBorders>
              <w:top w:val="nil"/>
              <w:left w:val="nil"/>
              <w:bottom w:val="nil"/>
              <w:right w:val="single" w:sz="8" w:space="0" w:color="auto"/>
            </w:tcBorders>
            <w:vAlign w:val="center"/>
          </w:tcPr>
          <w:p w14:paraId="5D48F662" w14:textId="77777777" w:rsidR="00B30EAA" w:rsidRPr="00830D25" w:rsidRDefault="00B30EAA" w:rsidP="00B30EAA">
            <w:pPr>
              <w:spacing w:after="0"/>
              <w:jc w:val="center"/>
              <w:rPr>
                <w:rFonts w:asciiTheme="minorHAnsi" w:eastAsia="Times New Roman" w:hAnsiTheme="minorHAnsi" w:cstheme="minorHAnsi"/>
                <w:color w:val="000000" w:themeColor="text1"/>
                <w:sz w:val="20"/>
                <w:lang w:eastAsia="en-GB"/>
              </w:rPr>
            </w:pPr>
            <w:r w:rsidRPr="00830D25">
              <w:rPr>
                <w:color w:val="000000" w:themeColor="text1"/>
                <w:sz w:val="20"/>
              </w:rPr>
              <w:t>0.91%</w:t>
            </w:r>
          </w:p>
        </w:tc>
      </w:tr>
      <w:tr w:rsidR="00B30EAA" w:rsidRPr="00BF23A7" w14:paraId="03D4CCE7" w14:textId="77777777" w:rsidTr="00B30EAA">
        <w:trPr>
          <w:trHeight w:val="172"/>
          <w:jc w:val="center"/>
        </w:trPr>
        <w:tc>
          <w:tcPr>
            <w:tcW w:w="4182" w:type="pct"/>
            <w:tcBorders>
              <w:top w:val="nil"/>
              <w:left w:val="single" w:sz="8" w:space="0" w:color="auto"/>
              <w:bottom w:val="nil"/>
              <w:right w:val="single" w:sz="8" w:space="0" w:color="auto"/>
            </w:tcBorders>
            <w:shd w:val="clear" w:color="auto" w:fill="auto"/>
            <w:vAlign w:val="center"/>
            <w:hideMark/>
          </w:tcPr>
          <w:p w14:paraId="325B54B4" w14:textId="77777777" w:rsidR="00B30EAA" w:rsidRPr="00830D25" w:rsidRDefault="00B30EAA" w:rsidP="00B30EAA">
            <w:pPr>
              <w:spacing w:after="0"/>
              <w:rPr>
                <w:rFonts w:eastAsia="Times New Roman"/>
                <w:color w:val="000000" w:themeColor="text1"/>
                <w:sz w:val="20"/>
                <w:lang w:eastAsia="en-GB"/>
              </w:rPr>
            </w:pPr>
            <w:r w:rsidRPr="00830D25">
              <w:rPr>
                <w:rFonts w:eastAsia="Times New Roman"/>
                <w:color w:val="000000" w:themeColor="text1"/>
                <w:sz w:val="20"/>
                <w:lang w:eastAsia="en-GB"/>
              </w:rPr>
              <w:t>Accommodation and Food Service Activities</w:t>
            </w:r>
          </w:p>
        </w:tc>
        <w:tc>
          <w:tcPr>
            <w:tcW w:w="818" w:type="pct"/>
            <w:tcBorders>
              <w:top w:val="nil"/>
              <w:left w:val="nil"/>
              <w:bottom w:val="nil"/>
              <w:right w:val="single" w:sz="8" w:space="0" w:color="auto"/>
            </w:tcBorders>
            <w:vAlign w:val="center"/>
          </w:tcPr>
          <w:p w14:paraId="74CD5222" w14:textId="77777777" w:rsidR="00B30EAA" w:rsidRPr="00830D25" w:rsidRDefault="00B30EAA" w:rsidP="00B30EAA">
            <w:pPr>
              <w:spacing w:after="0"/>
              <w:jc w:val="center"/>
              <w:rPr>
                <w:rFonts w:asciiTheme="minorHAnsi" w:eastAsia="Times New Roman" w:hAnsiTheme="minorHAnsi" w:cstheme="minorHAnsi"/>
                <w:color w:val="000000" w:themeColor="text1"/>
                <w:sz w:val="20"/>
                <w:lang w:eastAsia="en-GB"/>
              </w:rPr>
            </w:pPr>
            <w:r w:rsidRPr="00830D25">
              <w:rPr>
                <w:color w:val="000000" w:themeColor="text1"/>
                <w:sz w:val="20"/>
              </w:rPr>
              <w:t>0.50%</w:t>
            </w:r>
          </w:p>
        </w:tc>
      </w:tr>
      <w:tr w:rsidR="00B30EAA" w:rsidRPr="00BF23A7" w14:paraId="40C4E18E" w14:textId="77777777" w:rsidTr="00B30EAA">
        <w:trPr>
          <w:trHeight w:val="172"/>
          <w:jc w:val="center"/>
        </w:trPr>
        <w:tc>
          <w:tcPr>
            <w:tcW w:w="4182" w:type="pct"/>
            <w:tcBorders>
              <w:top w:val="nil"/>
              <w:left w:val="single" w:sz="8" w:space="0" w:color="auto"/>
              <w:bottom w:val="nil"/>
              <w:right w:val="single" w:sz="8" w:space="0" w:color="auto"/>
            </w:tcBorders>
            <w:shd w:val="clear" w:color="auto" w:fill="auto"/>
            <w:vAlign w:val="center"/>
            <w:hideMark/>
          </w:tcPr>
          <w:p w14:paraId="15C578C9" w14:textId="77777777" w:rsidR="00B30EAA" w:rsidRPr="00830D25" w:rsidRDefault="00B30EAA" w:rsidP="00B30EAA">
            <w:pPr>
              <w:spacing w:after="0"/>
              <w:rPr>
                <w:rFonts w:eastAsia="Times New Roman"/>
                <w:color w:val="000000" w:themeColor="text1"/>
                <w:sz w:val="20"/>
                <w:lang w:eastAsia="en-GB"/>
              </w:rPr>
            </w:pPr>
            <w:r w:rsidRPr="00830D25">
              <w:rPr>
                <w:rFonts w:eastAsia="Times New Roman"/>
                <w:color w:val="000000" w:themeColor="text1"/>
                <w:sz w:val="20"/>
                <w:lang w:eastAsia="en-GB"/>
              </w:rPr>
              <w:t>Education</w:t>
            </w:r>
          </w:p>
        </w:tc>
        <w:tc>
          <w:tcPr>
            <w:tcW w:w="818" w:type="pct"/>
            <w:tcBorders>
              <w:top w:val="nil"/>
              <w:left w:val="nil"/>
              <w:bottom w:val="nil"/>
              <w:right w:val="single" w:sz="8" w:space="0" w:color="auto"/>
            </w:tcBorders>
            <w:vAlign w:val="center"/>
          </w:tcPr>
          <w:p w14:paraId="53B779B4" w14:textId="77777777" w:rsidR="00B30EAA" w:rsidRPr="00830D25" w:rsidRDefault="00B30EAA" w:rsidP="00B30EAA">
            <w:pPr>
              <w:spacing w:after="0"/>
              <w:jc w:val="center"/>
              <w:rPr>
                <w:rFonts w:asciiTheme="minorHAnsi" w:eastAsia="Times New Roman" w:hAnsiTheme="minorHAnsi" w:cstheme="minorHAnsi"/>
                <w:color w:val="000000" w:themeColor="text1"/>
                <w:sz w:val="20"/>
                <w:lang w:eastAsia="en-GB"/>
              </w:rPr>
            </w:pPr>
            <w:r w:rsidRPr="00830D25">
              <w:rPr>
                <w:color w:val="000000" w:themeColor="text1"/>
                <w:sz w:val="20"/>
              </w:rPr>
              <w:t>0.58%</w:t>
            </w:r>
          </w:p>
        </w:tc>
      </w:tr>
      <w:tr w:rsidR="00B30EAA" w:rsidRPr="00BF23A7" w14:paraId="7DD62149" w14:textId="77777777" w:rsidTr="00B30EAA">
        <w:trPr>
          <w:trHeight w:val="172"/>
          <w:jc w:val="center"/>
        </w:trPr>
        <w:tc>
          <w:tcPr>
            <w:tcW w:w="4182" w:type="pct"/>
            <w:tcBorders>
              <w:top w:val="nil"/>
              <w:left w:val="single" w:sz="8" w:space="0" w:color="auto"/>
              <w:bottom w:val="nil"/>
              <w:right w:val="single" w:sz="8" w:space="0" w:color="auto"/>
            </w:tcBorders>
            <w:shd w:val="clear" w:color="auto" w:fill="auto"/>
            <w:vAlign w:val="center"/>
            <w:hideMark/>
          </w:tcPr>
          <w:p w14:paraId="5C0DE564" w14:textId="77777777" w:rsidR="00B30EAA" w:rsidRPr="00830D25" w:rsidRDefault="00B30EAA" w:rsidP="00B30EAA">
            <w:pPr>
              <w:spacing w:after="0"/>
              <w:rPr>
                <w:rFonts w:eastAsia="Times New Roman"/>
                <w:color w:val="000000" w:themeColor="text1"/>
                <w:sz w:val="20"/>
                <w:lang w:eastAsia="en-GB"/>
              </w:rPr>
            </w:pPr>
            <w:r w:rsidRPr="00830D25">
              <w:rPr>
                <w:rFonts w:eastAsia="Times New Roman"/>
                <w:color w:val="000000" w:themeColor="text1"/>
                <w:sz w:val="20"/>
                <w:lang w:eastAsia="en-GB"/>
              </w:rPr>
              <w:t>Arts, Entertainment and Recreation</w:t>
            </w:r>
          </w:p>
        </w:tc>
        <w:tc>
          <w:tcPr>
            <w:tcW w:w="818" w:type="pct"/>
            <w:tcBorders>
              <w:top w:val="nil"/>
              <w:left w:val="nil"/>
              <w:bottom w:val="nil"/>
              <w:right w:val="single" w:sz="8" w:space="0" w:color="auto"/>
            </w:tcBorders>
            <w:vAlign w:val="center"/>
          </w:tcPr>
          <w:p w14:paraId="1C26213F" w14:textId="77777777" w:rsidR="00B30EAA" w:rsidRPr="00830D25" w:rsidRDefault="00B30EAA" w:rsidP="00B30EAA">
            <w:pPr>
              <w:spacing w:after="0"/>
              <w:jc w:val="center"/>
              <w:rPr>
                <w:rFonts w:asciiTheme="minorHAnsi" w:eastAsia="Times New Roman" w:hAnsiTheme="minorHAnsi" w:cstheme="minorHAnsi"/>
                <w:color w:val="000000" w:themeColor="text1"/>
                <w:sz w:val="20"/>
                <w:lang w:eastAsia="en-GB"/>
              </w:rPr>
            </w:pPr>
            <w:r w:rsidRPr="00830D25">
              <w:rPr>
                <w:color w:val="000000" w:themeColor="text1"/>
                <w:sz w:val="20"/>
              </w:rPr>
              <w:t>0.08%</w:t>
            </w:r>
          </w:p>
        </w:tc>
      </w:tr>
      <w:tr w:rsidR="00B30EAA" w:rsidRPr="00BF23A7" w14:paraId="6DCA1A15" w14:textId="77777777" w:rsidTr="00B30EAA">
        <w:trPr>
          <w:trHeight w:val="172"/>
          <w:jc w:val="center"/>
        </w:trPr>
        <w:tc>
          <w:tcPr>
            <w:tcW w:w="4182" w:type="pct"/>
            <w:tcBorders>
              <w:top w:val="nil"/>
              <w:left w:val="single" w:sz="8" w:space="0" w:color="auto"/>
              <w:bottom w:val="nil"/>
              <w:right w:val="single" w:sz="8" w:space="0" w:color="auto"/>
            </w:tcBorders>
            <w:shd w:val="clear" w:color="auto" w:fill="auto"/>
            <w:vAlign w:val="center"/>
            <w:hideMark/>
          </w:tcPr>
          <w:p w14:paraId="1AC7DE97" w14:textId="77777777" w:rsidR="00B30EAA" w:rsidRPr="00830D25" w:rsidRDefault="00B30EAA" w:rsidP="00B30EAA">
            <w:pPr>
              <w:spacing w:after="0"/>
              <w:rPr>
                <w:rFonts w:eastAsia="Times New Roman"/>
                <w:color w:val="000000" w:themeColor="text1"/>
                <w:sz w:val="20"/>
                <w:lang w:eastAsia="en-GB"/>
              </w:rPr>
            </w:pPr>
            <w:r w:rsidRPr="00830D25">
              <w:rPr>
                <w:rFonts w:eastAsia="Times New Roman"/>
                <w:color w:val="000000" w:themeColor="text1"/>
                <w:sz w:val="20"/>
                <w:lang w:eastAsia="en-GB"/>
              </w:rPr>
              <w:t>Agriculture, Forestry and Fishing</w:t>
            </w:r>
          </w:p>
        </w:tc>
        <w:tc>
          <w:tcPr>
            <w:tcW w:w="818" w:type="pct"/>
            <w:tcBorders>
              <w:top w:val="nil"/>
              <w:left w:val="nil"/>
              <w:bottom w:val="nil"/>
              <w:right w:val="single" w:sz="8" w:space="0" w:color="auto"/>
            </w:tcBorders>
            <w:vAlign w:val="center"/>
          </w:tcPr>
          <w:p w14:paraId="00B2FE15" w14:textId="77777777" w:rsidR="00B30EAA" w:rsidRPr="00830D25" w:rsidRDefault="00B30EAA" w:rsidP="00B30EAA">
            <w:pPr>
              <w:spacing w:after="0"/>
              <w:jc w:val="center"/>
              <w:rPr>
                <w:rFonts w:asciiTheme="minorHAnsi" w:eastAsia="Times New Roman" w:hAnsiTheme="minorHAnsi" w:cstheme="minorHAnsi"/>
                <w:color w:val="000000" w:themeColor="text1"/>
                <w:sz w:val="20"/>
                <w:lang w:eastAsia="en-GB"/>
              </w:rPr>
            </w:pPr>
            <w:r w:rsidRPr="00830D25">
              <w:rPr>
                <w:color w:val="000000" w:themeColor="text1"/>
                <w:sz w:val="20"/>
              </w:rPr>
              <w:t>0.19%</w:t>
            </w:r>
          </w:p>
        </w:tc>
      </w:tr>
      <w:tr w:rsidR="00B30EAA" w:rsidRPr="00BF23A7" w14:paraId="6F727D92" w14:textId="77777777" w:rsidTr="00B30EAA">
        <w:trPr>
          <w:trHeight w:val="172"/>
          <w:jc w:val="center"/>
        </w:trPr>
        <w:tc>
          <w:tcPr>
            <w:tcW w:w="4182" w:type="pct"/>
            <w:tcBorders>
              <w:top w:val="nil"/>
              <w:left w:val="single" w:sz="8" w:space="0" w:color="auto"/>
              <w:bottom w:val="nil"/>
              <w:right w:val="single" w:sz="8" w:space="0" w:color="auto"/>
            </w:tcBorders>
            <w:shd w:val="clear" w:color="auto" w:fill="auto"/>
            <w:vAlign w:val="center"/>
            <w:hideMark/>
          </w:tcPr>
          <w:p w14:paraId="7D578925" w14:textId="77777777" w:rsidR="00B30EAA" w:rsidRPr="00830D25" w:rsidRDefault="00B30EAA" w:rsidP="00B30EAA">
            <w:pPr>
              <w:spacing w:after="0"/>
              <w:rPr>
                <w:rFonts w:eastAsia="Times New Roman"/>
                <w:color w:val="000000" w:themeColor="text1"/>
                <w:sz w:val="20"/>
                <w:lang w:eastAsia="en-GB"/>
              </w:rPr>
            </w:pPr>
            <w:r w:rsidRPr="00830D25">
              <w:rPr>
                <w:rFonts w:eastAsia="Times New Roman"/>
                <w:color w:val="000000" w:themeColor="text1"/>
                <w:sz w:val="20"/>
                <w:lang w:eastAsia="en-GB"/>
              </w:rPr>
              <w:t>Human Health and Social Work Activities</w:t>
            </w:r>
          </w:p>
        </w:tc>
        <w:tc>
          <w:tcPr>
            <w:tcW w:w="818" w:type="pct"/>
            <w:tcBorders>
              <w:top w:val="nil"/>
              <w:left w:val="nil"/>
              <w:bottom w:val="nil"/>
              <w:right w:val="single" w:sz="8" w:space="0" w:color="auto"/>
            </w:tcBorders>
            <w:vAlign w:val="center"/>
          </w:tcPr>
          <w:p w14:paraId="22353D04" w14:textId="77777777" w:rsidR="00B30EAA" w:rsidRPr="00830D25" w:rsidRDefault="00B30EAA" w:rsidP="00B30EAA">
            <w:pPr>
              <w:spacing w:after="0"/>
              <w:jc w:val="center"/>
              <w:rPr>
                <w:rFonts w:asciiTheme="minorHAnsi" w:eastAsia="Times New Roman" w:hAnsiTheme="minorHAnsi" w:cstheme="minorHAnsi"/>
                <w:color w:val="000000" w:themeColor="text1"/>
                <w:sz w:val="20"/>
                <w:lang w:eastAsia="en-GB"/>
              </w:rPr>
            </w:pPr>
            <w:r w:rsidRPr="00830D25">
              <w:rPr>
                <w:color w:val="000000" w:themeColor="text1"/>
                <w:sz w:val="20"/>
              </w:rPr>
              <w:t>0.12%</w:t>
            </w:r>
          </w:p>
        </w:tc>
      </w:tr>
      <w:tr w:rsidR="00B30EAA" w:rsidRPr="00BF23A7" w14:paraId="1B1D6DEF" w14:textId="77777777" w:rsidTr="00B30EAA">
        <w:trPr>
          <w:trHeight w:val="172"/>
          <w:jc w:val="center"/>
        </w:trPr>
        <w:tc>
          <w:tcPr>
            <w:tcW w:w="4182" w:type="pct"/>
            <w:tcBorders>
              <w:top w:val="nil"/>
              <w:left w:val="single" w:sz="8" w:space="0" w:color="auto"/>
              <w:bottom w:val="single" w:sz="8" w:space="0" w:color="auto"/>
              <w:right w:val="single" w:sz="8" w:space="0" w:color="auto"/>
            </w:tcBorders>
            <w:shd w:val="clear" w:color="auto" w:fill="auto"/>
            <w:vAlign w:val="center"/>
            <w:hideMark/>
          </w:tcPr>
          <w:p w14:paraId="16482FF2" w14:textId="77777777" w:rsidR="00B30EAA" w:rsidRPr="00830D25" w:rsidRDefault="00B30EAA" w:rsidP="00B30EAA">
            <w:pPr>
              <w:spacing w:after="0"/>
              <w:rPr>
                <w:rFonts w:eastAsia="Times New Roman"/>
                <w:color w:val="000000" w:themeColor="text1"/>
                <w:sz w:val="20"/>
                <w:lang w:eastAsia="en-GB"/>
              </w:rPr>
            </w:pPr>
            <w:r w:rsidRPr="00830D25">
              <w:rPr>
                <w:rFonts w:eastAsia="Times New Roman"/>
                <w:color w:val="000000" w:themeColor="text1"/>
                <w:sz w:val="20"/>
                <w:lang w:eastAsia="en-GB"/>
              </w:rPr>
              <w:t>Other Service Activities</w:t>
            </w:r>
          </w:p>
        </w:tc>
        <w:tc>
          <w:tcPr>
            <w:tcW w:w="818" w:type="pct"/>
            <w:tcBorders>
              <w:top w:val="nil"/>
              <w:left w:val="nil"/>
              <w:bottom w:val="single" w:sz="8" w:space="0" w:color="auto"/>
              <w:right w:val="single" w:sz="8" w:space="0" w:color="auto"/>
            </w:tcBorders>
            <w:vAlign w:val="center"/>
          </w:tcPr>
          <w:p w14:paraId="6A640B96" w14:textId="77777777" w:rsidR="00B30EAA" w:rsidRPr="00830D25" w:rsidRDefault="00B30EAA" w:rsidP="00B30EAA">
            <w:pPr>
              <w:spacing w:after="0"/>
              <w:jc w:val="center"/>
              <w:rPr>
                <w:rFonts w:asciiTheme="minorHAnsi" w:eastAsia="Times New Roman" w:hAnsiTheme="minorHAnsi" w:cstheme="minorHAnsi"/>
                <w:color w:val="000000" w:themeColor="text1"/>
                <w:sz w:val="20"/>
                <w:lang w:eastAsia="en-GB"/>
              </w:rPr>
            </w:pPr>
            <w:r w:rsidRPr="00830D25">
              <w:rPr>
                <w:color w:val="000000" w:themeColor="text1"/>
                <w:sz w:val="20"/>
              </w:rPr>
              <w:t>0.22%</w:t>
            </w:r>
          </w:p>
        </w:tc>
      </w:tr>
    </w:tbl>
    <w:p w14:paraId="077092CD" w14:textId="48351E06" w:rsidR="00B30EAA" w:rsidRPr="004658C7" w:rsidRDefault="00B30EAA" w:rsidP="004658C7">
      <w:pPr>
        <w:pStyle w:val="ListBullet"/>
        <w:spacing w:before="120"/>
        <w:jc w:val="right"/>
        <w:rPr>
          <w:bCs/>
          <w:i/>
          <w:sz w:val="18"/>
        </w:rPr>
      </w:pPr>
      <w:r w:rsidRPr="004658C7">
        <w:rPr>
          <w:bCs/>
          <w:i/>
          <w:sz w:val="18"/>
        </w:rPr>
        <w:t>Source: NHF, NAO, ONS, Cebr analysis</w:t>
      </w:r>
    </w:p>
    <w:p w14:paraId="04BC7C3F" w14:textId="3A93B9BF" w:rsidR="00B30EAA" w:rsidRDefault="00B30EAA" w:rsidP="007D3E32">
      <w:pPr>
        <w:spacing w:line="276" w:lineRule="auto"/>
        <w:jc w:val="both"/>
        <w:rPr>
          <w:rFonts w:cs="Calibri"/>
        </w:rPr>
      </w:pPr>
      <w:r>
        <w:rPr>
          <w:rFonts w:cs="Calibri"/>
        </w:rPr>
        <w:t xml:space="preserve">Whereas </w:t>
      </w:r>
      <w:r w:rsidRPr="00E853F8">
        <w:rPr>
          <w:rFonts w:cs="Calibri"/>
        </w:rPr>
        <w:fldChar w:fldCharType="begin"/>
      </w:r>
      <w:r w:rsidRPr="00E853F8">
        <w:rPr>
          <w:rFonts w:cs="Calibri"/>
        </w:rPr>
        <w:instrText xml:space="preserve"> REF _Ref343463538 \h  \* MERGEFORMAT </w:instrText>
      </w:r>
      <w:r w:rsidRPr="00E853F8">
        <w:rPr>
          <w:rFonts w:cs="Calibri"/>
        </w:rPr>
      </w:r>
      <w:r w:rsidRPr="00E853F8">
        <w:rPr>
          <w:rFonts w:cs="Calibri"/>
        </w:rPr>
        <w:fldChar w:fldCharType="separate"/>
      </w:r>
      <w:r w:rsidRPr="004658C7">
        <w:rPr>
          <w:rFonts w:cs="Calibri"/>
        </w:rPr>
        <w:t>Table 2</w:t>
      </w:r>
      <w:r w:rsidRPr="00E853F8">
        <w:rPr>
          <w:rFonts w:cs="Calibri"/>
        </w:rPr>
        <w:fldChar w:fldCharType="end"/>
      </w:r>
      <w:r>
        <w:rPr>
          <w:rFonts w:cs="Calibri"/>
        </w:rPr>
        <w:t xml:space="preserve"> above</w:t>
      </w:r>
      <w:r w:rsidRPr="00E853F8">
        <w:rPr>
          <w:rFonts w:cs="Calibri"/>
        </w:rPr>
        <w:t xml:space="preserve"> shows the </w:t>
      </w:r>
      <w:r>
        <w:rPr>
          <w:rFonts w:cs="Calibri"/>
        </w:rPr>
        <w:t xml:space="preserve">categories of goods and services that HAs require to carry out their own day-to-day activities, </w:t>
      </w:r>
      <w:r>
        <w:rPr>
          <w:rFonts w:cs="Calibri"/>
        </w:rPr>
        <w:fldChar w:fldCharType="begin"/>
      </w:r>
      <w:r>
        <w:rPr>
          <w:rFonts w:cs="Calibri"/>
        </w:rPr>
        <w:instrText xml:space="preserve"> REF _Ref343503003 \h </w:instrText>
      </w:r>
      <w:r w:rsidR="004658C7">
        <w:rPr>
          <w:rFonts w:cs="Calibri"/>
        </w:rPr>
        <w:instrText xml:space="preserve"> \* MERGEFORMAT </w:instrText>
      </w:r>
      <w:r>
        <w:rPr>
          <w:rFonts w:cs="Calibri"/>
        </w:rPr>
      </w:r>
      <w:r>
        <w:rPr>
          <w:rFonts w:cs="Calibri"/>
        </w:rPr>
        <w:fldChar w:fldCharType="separate"/>
      </w:r>
      <w:r w:rsidRPr="004658C7">
        <w:rPr>
          <w:rFonts w:cs="Calibri"/>
        </w:rPr>
        <w:t>Table 6</w:t>
      </w:r>
      <w:r>
        <w:rPr>
          <w:rFonts w:cs="Calibri"/>
        </w:rPr>
        <w:fldChar w:fldCharType="end"/>
      </w:r>
      <w:r>
        <w:rPr>
          <w:rFonts w:cs="Calibri"/>
        </w:rPr>
        <w:t xml:space="preserve"> shows the categories of goods and services required as inputs by the beneficiary industries listed in </w:t>
      </w:r>
      <w:r>
        <w:rPr>
          <w:rFonts w:cs="Calibri"/>
        </w:rPr>
        <w:fldChar w:fldCharType="begin"/>
      </w:r>
      <w:r>
        <w:rPr>
          <w:rFonts w:cs="Calibri"/>
        </w:rPr>
        <w:instrText xml:space="preserve"> REF _Ref343498378 \h </w:instrText>
      </w:r>
      <w:r w:rsidR="004658C7">
        <w:rPr>
          <w:rFonts w:cs="Calibri"/>
        </w:rPr>
        <w:instrText xml:space="preserve"> \* MERGEFORMAT </w:instrText>
      </w:r>
      <w:r>
        <w:rPr>
          <w:rFonts w:cs="Calibri"/>
        </w:rPr>
      </w:r>
      <w:r>
        <w:rPr>
          <w:rFonts w:cs="Calibri"/>
        </w:rPr>
        <w:fldChar w:fldCharType="separate"/>
      </w:r>
      <w:r w:rsidRPr="004658C7">
        <w:rPr>
          <w:rFonts w:cs="Calibri"/>
        </w:rPr>
        <w:t>Table 5</w:t>
      </w:r>
      <w:r>
        <w:rPr>
          <w:rFonts w:cs="Calibri"/>
        </w:rPr>
        <w:fldChar w:fldCharType="end"/>
      </w:r>
      <w:r>
        <w:rPr>
          <w:rFonts w:cs="Calibri"/>
        </w:rPr>
        <w:t xml:space="preserve"> in order to produce the goods and services required by HAs to deliver investments in new affordable homes.</w:t>
      </w:r>
    </w:p>
    <w:p w14:paraId="4DF73216" w14:textId="4622C51C" w:rsidR="00B30EAA" w:rsidRDefault="00B30EAA" w:rsidP="007D3E32">
      <w:pPr>
        <w:spacing w:line="276" w:lineRule="auto"/>
        <w:jc w:val="both"/>
        <w:rPr>
          <w:rFonts w:cs="Calibri"/>
        </w:rPr>
      </w:pPr>
      <w:r>
        <w:rPr>
          <w:rFonts w:cs="Calibri"/>
        </w:rPr>
        <w:t>The composite supply chain of the ‘beneficiary’ industries is more diverse than that required to support housing associations’ day-to-day activities. Because the largest proportion of the output required to realise new affordable home investments comes from the construction industry – 6</w:t>
      </w:r>
      <w:r w:rsidR="00C47777">
        <w:rPr>
          <w:rFonts w:cs="Calibri"/>
        </w:rPr>
        <w:t>9</w:t>
      </w:r>
      <w:r>
        <w:rPr>
          <w:rFonts w:cs="Calibri"/>
        </w:rPr>
        <w:t xml:space="preserve">% in </w:t>
      </w:r>
      <w:r w:rsidRPr="00D21692">
        <w:rPr>
          <w:rFonts w:cs="Calibri"/>
        </w:rPr>
        <w:fldChar w:fldCharType="begin"/>
      </w:r>
      <w:r w:rsidRPr="00D21692">
        <w:rPr>
          <w:rFonts w:cs="Calibri"/>
        </w:rPr>
        <w:instrText xml:space="preserve"> REF _Ref343498378 \h  \* MERGEFORMAT </w:instrText>
      </w:r>
      <w:r w:rsidRPr="00D21692">
        <w:rPr>
          <w:rFonts w:cs="Calibri"/>
        </w:rPr>
      </w:r>
      <w:r w:rsidRPr="00D21692">
        <w:rPr>
          <w:rFonts w:cs="Calibri"/>
        </w:rPr>
        <w:fldChar w:fldCharType="separate"/>
      </w:r>
      <w:r w:rsidRPr="004658C7">
        <w:rPr>
          <w:rFonts w:cs="Calibri"/>
        </w:rPr>
        <w:t>Table 5</w:t>
      </w:r>
      <w:r w:rsidRPr="00D21692">
        <w:rPr>
          <w:rFonts w:cs="Calibri"/>
        </w:rPr>
        <w:fldChar w:fldCharType="end"/>
      </w:r>
      <w:r>
        <w:rPr>
          <w:rFonts w:cs="Calibri"/>
        </w:rPr>
        <w:t xml:space="preserve"> – the ‘composite’ supply chain is heavily influenced by the supply chain of the construction sector. The significant inter-industry trade within construction is reflected in the fact that 32.4% of the composite supply chain shown in </w:t>
      </w:r>
      <w:r w:rsidRPr="00E853F8">
        <w:rPr>
          <w:rFonts w:cs="Calibri"/>
        </w:rPr>
        <w:fldChar w:fldCharType="begin"/>
      </w:r>
      <w:r w:rsidRPr="00E853F8">
        <w:rPr>
          <w:rFonts w:cs="Calibri"/>
        </w:rPr>
        <w:instrText xml:space="preserve"> REF _Ref343503003 \h  \* MERGEFORMAT </w:instrText>
      </w:r>
      <w:r w:rsidRPr="00E853F8">
        <w:rPr>
          <w:rFonts w:cs="Calibri"/>
        </w:rPr>
      </w:r>
      <w:r w:rsidRPr="00E853F8">
        <w:rPr>
          <w:rFonts w:cs="Calibri"/>
        </w:rPr>
        <w:fldChar w:fldCharType="separate"/>
      </w:r>
      <w:r w:rsidRPr="004658C7">
        <w:rPr>
          <w:rFonts w:cs="Calibri"/>
        </w:rPr>
        <w:t>Table 6</w:t>
      </w:r>
      <w:r w:rsidRPr="00E853F8">
        <w:rPr>
          <w:rFonts w:cs="Calibri"/>
        </w:rPr>
        <w:fldChar w:fldCharType="end"/>
      </w:r>
      <w:r>
        <w:rPr>
          <w:rFonts w:cs="Calibri"/>
        </w:rPr>
        <w:t xml:space="preserve"> is also made up of construction goods and services. Manufacturing, which covers a wide range of industries that produce the materials required to build homes, also features heavily in this ‘composite’ supply chain. </w:t>
      </w:r>
    </w:p>
    <w:p w14:paraId="33D480C0" w14:textId="7224E846" w:rsidR="00385887" w:rsidRDefault="00E45BF6" w:rsidP="00F76D67">
      <w:pPr>
        <w:pStyle w:val="Heading1"/>
        <w:numPr>
          <w:ilvl w:val="0"/>
          <w:numId w:val="7"/>
        </w:numPr>
        <w:spacing w:after="120"/>
        <w:rPr>
          <w:b/>
          <w:bCs/>
          <w:color w:val="008C9B" w:themeColor="text2"/>
        </w:rPr>
      </w:pPr>
      <w:bookmarkStart w:id="26" w:name="_Toc33694503"/>
      <w:bookmarkStart w:id="27" w:name="_Toc66786717"/>
      <w:r w:rsidRPr="00E45BF6">
        <w:rPr>
          <w:b/>
          <w:bCs/>
          <w:color w:val="008C9B" w:themeColor="text2"/>
        </w:rPr>
        <w:lastRenderedPageBreak/>
        <w:t>Application of the modelling framework</w:t>
      </w:r>
      <w:bookmarkEnd w:id="26"/>
      <w:bookmarkEnd w:id="27"/>
      <w:r w:rsidRPr="00385887">
        <w:rPr>
          <w:b/>
          <w:bCs/>
          <w:color w:val="008C9B" w:themeColor="text2"/>
        </w:rPr>
        <w:t xml:space="preserve"> </w:t>
      </w:r>
    </w:p>
    <w:p w14:paraId="2CC803A2" w14:textId="77777777" w:rsidR="002E1648" w:rsidRDefault="002E1648" w:rsidP="00524842">
      <w:pPr>
        <w:pStyle w:val="Heading1"/>
        <w:jc w:val="both"/>
        <w:sectPr w:rsidR="002E1648" w:rsidSect="005C6A70">
          <w:headerReference w:type="even" r:id="rId18"/>
          <w:headerReference w:type="default" r:id="rId19"/>
          <w:footerReference w:type="default" r:id="rId20"/>
          <w:headerReference w:type="first" r:id="rId21"/>
          <w:type w:val="continuous"/>
          <w:pgSz w:w="11906" w:h="16838"/>
          <w:pgMar w:top="1440" w:right="1440" w:bottom="1440" w:left="1440" w:header="709" w:footer="709" w:gutter="0"/>
          <w:cols w:space="708"/>
          <w:docGrid w:linePitch="360"/>
        </w:sectPr>
      </w:pPr>
    </w:p>
    <w:p w14:paraId="03038ACD" w14:textId="77777777" w:rsidR="00E45BF6" w:rsidRDefault="00E45BF6" w:rsidP="00E45BF6">
      <w:pPr>
        <w:spacing w:before="240" w:after="120"/>
        <w:jc w:val="both"/>
        <w:rPr>
          <w:rFonts w:cs="Calibri"/>
        </w:rPr>
      </w:pPr>
      <w:r w:rsidRPr="002E57B1">
        <w:rPr>
          <w:rFonts w:cs="Calibri"/>
        </w:rPr>
        <w:t>The estimates taken forward from the previous</w:t>
      </w:r>
      <w:r>
        <w:rPr>
          <w:rFonts w:cs="Calibri"/>
        </w:rPr>
        <w:t xml:space="preserve"> </w:t>
      </w:r>
      <w:r w:rsidRPr="002E57B1">
        <w:rPr>
          <w:rFonts w:cs="Calibri"/>
        </w:rPr>
        <w:t>section</w:t>
      </w:r>
      <w:r>
        <w:rPr>
          <w:rFonts w:cs="Calibri"/>
        </w:rPr>
        <w:t>s</w:t>
      </w:r>
      <w:r w:rsidRPr="002E57B1">
        <w:rPr>
          <w:rFonts w:cs="Calibri"/>
        </w:rPr>
        <w:t xml:space="preserve"> provide the basis for completing the embedding process</w:t>
      </w:r>
      <w:r>
        <w:rPr>
          <w:rFonts w:cs="Calibri"/>
        </w:rPr>
        <w:t xml:space="preserve"> for both housing associations’ day-to-day activities and the stimulus provided by investments in new affordable homes. </w:t>
      </w:r>
    </w:p>
    <w:p w14:paraId="39F0796B" w14:textId="77777777" w:rsidR="00E45BF6" w:rsidRDefault="00E45BF6" w:rsidP="00E45BF6">
      <w:pPr>
        <w:pStyle w:val="Heading2"/>
      </w:pPr>
      <w:bookmarkStart w:id="28" w:name="_Toc33694504"/>
      <w:bookmarkStart w:id="29" w:name="_Toc66786718"/>
      <w:r>
        <w:t>Completing the embedding process</w:t>
      </w:r>
      <w:bookmarkEnd w:id="28"/>
      <w:bookmarkEnd w:id="29"/>
    </w:p>
    <w:p w14:paraId="596ED863" w14:textId="77777777" w:rsidR="00E45BF6" w:rsidRPr="002E57B1" w:rsidRDefault="00E45BF6" w:rsidP="00E45BF6">
      <w:pPr>
        <w:spacing w:before="240" w:after="120"/>
        <w:jc w:val="both"/>
        <w:rPr>
          <w:rFonts w:cs="Calibri"/>
        </w:rPr>
      </w:pPr>
      <w:r w:rsidRPr="002E57B1">
        <w:rPr>
          <w:rFonts w:cs="Calibri"/>
        </w:rPr>
        <w:t>This involve</w:t>
      </w:r>
      <w:r>
        <w:rPr>
          <w:rFonts w:cs="Calibri"/>
        </w:rPr>
        <w:t>s</w:t>
      </w:r>
      <w:r w:rsidRPr="002E57B1">
        <w:rPr>
          <w:rFonts w:cs="Calibri"/>
        </w:rPr>
        <w:t xml:space="preserve"> incorporating the estimates into an </w:t>
      </w:r>
      <w:r>
        <w:rPr>
          <w:rFonts w:cs="Calibri"/>
        </w:rPr>
        <w:t xml:space="preserve">adapted version of the </w:t>
      </w:r>
      <w:r w:rsidRPr="002E57B1">
        <w:rPr>
          <w:rFonts w:cs="Calibri"/>
        </w:rPr>
        <w:t xml:space="preserve">aggregate combined use </w:t>
      </w:r>
      <w:r>
        <w:rPr>
          <w:rFonts w:cs="Calibri"/>
        </w:rPr>
        <w:t>matrix</w:t>
      </w:r>
      <w:r w:rsidRPr="002E57B1">
        <w:rPr>
          <w:rFonts w:cs="Calibri"/>
        </w:rPr>
        <w:t>. Th</w:t>
      </w:r>
      <w:r>
        <w:rPr>
          <w:rFonts w:cs="Calibri"/>
        </w:rPr>
        <w:t>is</w:t>
      </w:r>
      <w:r w:rsidRPr="002E57B1">
        <w:rPr>
          <w:rFonts w:cs="Calibri"/>
        </w:rPr>
        <w:t xml:space="preserve"> </w:t>
      </w:r>
      <w:r>
        <w:rPr>
          <w:rFonts w:cs="Calibri"/>
        </w:rPr>
        <w:t xml:space="preserve">comes in </w:t>
      </w:r>
      <w:r w:rsidRPr="002E57B1">
        <w:rPr>
          <w:rFonts w:cs="Calibri"/>
        </w:rPr>
        <w:t>three parts:</w:t>
      </w:r>
    </w:p>
    <w:p w14:paraId="0C7028A2" w14:textId="77777777" w:rsidR="00E45BF6" w:rsidRPr="002E57B1" w:rsidRDefault="00E45BF6" w:rsidP="00E45BF6">
      <w:pPr>
        <w:numPr>
          <w:ilvl w:val="0"/>
          <w:numId w:val="33"/>
        </w:numPr>
        <w:spacing w:before="240" w:after="120"/>
        <w:ind w:left="426" w:right="-45" w:hanging="426"/>
        <w:jc w:val="both"/>
        <w:rPr>
          <w:rFonts w:cs="Calibri"/>
        </w:rPr>
      </w:pPr>
      <w:r w:rsidRPr="002E57B1">
        <w:rPr>
          <w:rFonts w:cs="Calibri"/>
        </w:rPr>
        <w:t xml:space="preserve">The </w:t>
      </w:r>
      <w:r w:rsidRPr="002E57B1">
        <w:rPr>
          <w:rFonts w:cs="Calibri"/>
          <w:i/>
        </w:rPr>
        <w:t>intermediate demand</w:t>
      </w:r>
      <w:r w:rsidRPr="002E57B1">
        <w:rPr>
          <w:rFonts w:cs="Calibri"/>
        </w:rPr>
        <w:t xml:space="preserve"> part, showing the inputs of products (goods and services) – both domestic and imported, but not separately – used by UK industries in the production of their output. </w:t>
      </w:r>
    </w:p>
    <w:p w14:paraId="45D37A16" w14:textId="77777777" w:rsidR="00E45BF6" w:rsidRPr="002E57B1" w:rsidRDefault="00E45BF6" w:rsidP="00E45BF6">
      <w:pPr>
        <w:numPr>
          <w:ilvl w:val="0"/>
          <w:numId w:val="33"/>
        </w:numPr>
        <w:spacing w:before="240" w:after="120"/>
        <w:ind w:left="426" w:right="-45" w:hanging="426"/>
        <w:jc w:val="both"/>
        <w:rPr>
          <w:rFonts w:cs="Calibri"/>
        </w:rPr>
      </w:pPr>
      <w:r w:rsidRPr="002E57B1">
        <w:rPr>
          <w:rFonts w:cs="Calibri"/>
        </w:rPr>
        <w:t xml:space="preserve">The </w:t>
      </w:r>
      <w:r w:rsidRPr="002E57B1">
        <w:rPr>
          <w:rFonts w:cs="Calibri"/>
          <w:i/>
        </w:rPr>
        <w:t>final demand</w:t>
      </w:r>
      <w:r w:rsidRPr="002E57B1">
        <w:rPr>
          <w:rFonts w:cs="Calibri"/>
        </w:rPr>
        <w:t xml:space="preserve"> part, showing the purchases of each product by each category of final demand in the UK – households (consumers), government, </w:t>
      </w:r>
      <w:proofErr w:type="gramStart"/>
      <w:r w:rsidRPr="002E57B1">
        <w:rPr>
          <w:rFonts w:cs="Calibri"/>
        </w:rPr>
        <w:t>investment</w:t>
      </w:r>
      <w:proofErr w:type="gramEnd"/>
      <w:r w:rsidRPr="002E57B1">
        <w:rPr>
          <w:rFonts w:cs="Calibri"/>
        </w:rPr>
        <w:t xml:space="preserve"> and exports.</w:t>
      </w:r>
    </w:p>
    <w:p w14:paraId="5CFF7069" w14:textId="77777777" w:rsidR="00E45BF6" w:rsidRPr="002E57B1" w:rsidRDefault="00E45BF6" w:rsidP="00E45BF6">
      <w:pPr>
        <w:numPr>
          <w:ilvl w:val="0"/>
          <w:numId w:val="33"/>
        </w:numPr>
        <w:spacing w:before="240" w:after="240"/>
        <w:ind w:left="426" w:right="-45" w:hanging="426"/>
        <w:jc w:val="both"/>
        <w:rPr>
          <w:rFonts w:cs="Calibri"/>
        </w:rPr>
      </w:pPr>
      <w:r w:rsidRPr="002E57B1">
        <w:rPr>
          <w:rFonts w:cs="Calibri"/>
        </w:rPr>
        <w:t xml:space="preserve">The </w:t>
      </w:r>
      <w:r w:rsidRPr="002E57B1">
        <w:rPr>
          <w:rFonts w:cs="Calibri"/>
          <w:i/>
        </w:rPr>
        <w:t xml:space="preserve">primary </w:t>
      </w:r>
      <w:proofErr w:type="gramStart"/>
      <w:r w:rsidRPr="002E57B1">
        <w:rPr>
          <w:rFonts w:cs="Calibri"/>
          <w:i/>
        </w:rPr>
        <w:t>inputs</w:t>
      </w:r>
      <w:proofErr w:type="gramEnd"/>
      <w:r w:rsidRPr="002E57B1">
        <w:rPr>
          <w:rFonts w:cs="Calibri"/>
          <w:i/>
        </w:rPr>
        <w:t xml:space="preserve"> </w:t>
      </w:r>
      <w:r w:rsidRPr="002E57B1">
        <w:rPr>
          <w:rFonts w:cs="Calibri"/>
        </w:rPr>
        <w:t xml:space="preserve">part, showing </w:t>
      </w:r>
      <w:r>
        <w:rPr>
          <w:rFonts w:cs="Calibri"/>
        </w:rPr>
        <w:t xml:space="preserve">payments to </w:t>
      </w:r>
      <w:r w:rsidRPr="002E57B1">
        <w:rPr>
          <w:rFonts w:cs="Calibri"/>
        </w:rPr>
        <w:t xml:space="preserve">inputs that do not flow through the other industries but rather reflect employees’ salaries, taxes </w:t>
      </w:r>
      <w:r w:rsidRPr="002E57B1">
        <w:rPr>
          <w:rFonts w:cs="Calibri"/>
          <w:i/>
        </w:rPr>
        <w:t xml:space="preserve">less </w:t>
      </w:r>
      <w:r w:rsidRPr="002E57B1">
        <w:rPr>
          <w:rFonts w:cs="Calibri"/>
        </w:rPr>
        <w:t>subsidies on production and gross operating surplus and mixed income.</w:t>
      </w:r>
      <w:r w:rsidRPr="00830D25">
        <w:rPr>
          <w:rStyle w:val="FootnoteReference"/>
          <w:rFonts w:ascii="HelveticaNeueLT Std" w:hAnsi="HelveticaNeueLT Std"/>
          <w:szCs w:val="16"/>
        </w:rPr>
        <w:footnoteReference w:id="12"/>
      </w:r>
      <w:r w:rsidRPr="002E57B1">
        <w:rPr>
          <w:rFonts w:cs="Calibri"/>
        </w:rPr>
        <w:t xml:space="preserve"> </w:t>
      </w:r>
    </w:p>
    <w:p w14:paraId="4E8864DA" w14:textId="77777777" w:rsidR="00E45BF6" w:rsidRPr="002E57B1" w:rsidRDefault="00E45BF6" w:rsidP="00E45BF6">
      <w:pPr>
        <w:spacing w:before="240" w:after="120"/>
        <w:jc w:val="both"/>
        <w:rPr>
          <w:rFonts w:cs="Calibri"/>
        </w:rPr>
      </w:pPr>
      <w:r w:rsidRPr="002E57B1">
        <w:rPr>
          <w:rFonts w:cs="Calibri"/>
        </w:rPr>
        <w:t xml:space="preserve">The aggregate supply table incorporates taxes </w:t>
      </w:r>
      <w:r w:rsidRPr="00E45BF6">
        <w:rPr>
          <w:rFonts w:cs="Calibri"/>
          <w:i/>
          <w:iCs/>
        </w:rPr>
        <w:t>less</w:t>
      </w:r>
      <w:r w:rsidRPr="002E57B1">
        <w:rPr>
          <w:rFonts w:cs="Calibri"/>
        </w:rPr>
        <w:t xml:space="preserve"> subsidies on products</w:t>
      </w:r>
      <w:r>
        <w:rPr>
          <w:rFonts w:cs="Calibri"/>
        </w:rPr>
        <w:t xml:space="preserve">, which are important for translating gross turnover (in the case of housing associations) and gross investment (in the case of new affordable homes) into measures of ‘industrial’ output, from which all economic contributions and impacts flow. </w:t>
      </w:r>
    </w:p>
    <w:p w14:paraId="6191F0EF" w14:textId="77777777" w:rsidR="00E45BF6" w:rsidRDefault="00E45BF6" w:rsidP="00E45BF6">
      <w:pPr>
        <w:spacing w:before="240" w:after="120"/>
        <w:jc w:val="both"/>
        <w:rPr>
          <w:rFonts w:cs="Calibri"/>
        </w:rPr>
      </w:pPr>
      <w:r>
        <w:rPr>
          <w:rFonts w:cs="Calibri"/>
        </w:rPr>
        <w:t xml:space="preserve">The </w:t>
      </w:r>
      <w:r w:rsidRPr="00E45BF6">
        <w:rPr>
          <w:rFonts w:cs="Calibri"/>
          <w:i/>
          <w:iCs/>
        </w:rPr>
        <w:t>primary</w:t>
      </w:r>
      <w:r w:rsidRPr="00E45BF6">
        <w:rPr>
          <w:rFonts w:cs="Calibri"/>
        </w:rPr>
        <w:t xml:space="preserve"> </w:t>
      </w:r>
      <w:proofErr w:type="gramStart"/>
      <w:r w:rsidRPr="00FA012C">
        <w:rPr>
          <w:rFonts w:cs="Calibri"/>
        </w:rPr>
        <w:t>inputs</w:t>
      </w:r>
      <w:proofErr w:type="gramEnd"/>
      <w:r>
        <w:rPr>
          <w:rFonts w:cs="Calibri"/>
        </w:rPr>
        <w:t xml:space="preserve"> part (which corresponds with the income account) was completed for housing associations and for the ‘beneficiary’ industries from new affordable homes investments using a combination of t</w:t>
      </w:r>
      <w:r w:rsidRPr="00D30C21">
        <w:rPr>
          <w:rFonts w:cs="Calibri"/>
        </w:rPr>
        <w:t>he</w:t>
      </w:r>
      <w:r w:rsidRPr="002E57B1">
        <w:rPr>
          <w:rFonts w:cs="Calibri"/>
        </w:rPr>
        <w:t xml:space="preserve"> data supplied by </w:t>
      </w:r>
      <w:r>
        <w:rPr>
          <w:rFonts w:cs="Calibri"/>
        </w:rPr>
        <w:t>the National Housing Federation, obtained from the HCA and the ONS and within the supply-use tables themselves (particularly for investment).</w:t>
      </w:r>
    </w:p>
    <w:p w14:paraId="36D4F6B0" w14:textId="77777777" w:rsidR="00E45BF6" w:rsidRPr="00B168C0" w:rsidRDefault="00E45BF6" w:rsidP="00E45BF6">
      <w:pPr>
        <w:spacing w:before="240" w:after="120"/>
        <w:jc w:val="both"/>
        <w:rPr>
          <w:rFonts w:cs="Calibri"/>
        </w:rPr>
      </w:pPr>
      <w:r w:rsidRPr="002E57B1">
        <w:rPr>
          <w:rFonts w:cs="Calibri"/>
        </w:rPr>
        <w:t xml:space="preserve">Completion of the </w:t>
      </w:r>
      <w:r w:rsidRPr="00E45BF6">
        <w:rPr>
          <w:rFonts w:cs="Calibri"/>
          <w:i/>
          <w:iCs/>
        </w:rPr>
        <w:t>intermediate demand</w:t>
      </w:r>
      <w:r w:rsidRPr="002E57B1">
        <w:rPr>
          <w:rFonts w:cs="Calibri"/>
        </w:rPr>
        <w:t xml:space="preserve"> and </w:t>
      </w:r>
      <w:r w:rsidRPr="00E45BF6">
        <w:rPr>
          <w:rFonts w:cs="Calibri"/>
          <w:i/>
          <w:iCs/>
        </w:rPr>
        <w:t>final demand</w:t>
      </w:r>
      <w:r w:rsidRPr="002E57B1">
        <w:rPr>
          <w:rFonts w:cs="Calibri"/>
        </w:rPr>
        <w:t xml:space="preserve"> parts of the combined use table</w:t>
      </w:r>
      <w:r>
        <w:rPr>
          <w:rFonts w:cs="Calibri"/>
        </w:rPr>
        <w:t>, in the case of housing associations’ day-to-day activities,</w:t>
      </w:r>
      <w:r w:rsidRPr="002E57B1">
        <w:rPr>
          <w:rFonts w:cs="Calibri"/>
        </w:rPr>
        <w:t xml:space="preserve"> required </w:t>
      </w:r>
      <w:r>
        <w:rPr>
          <w:rFonts w:cs="Calibri"/>
        </w:rPr>
        <w:t xml:space="preserve">an </w:t>
      </w:r>
      <w:r w:rsidRPr="002E57B1">
        <w:rPr>
          <w:rFonts w:cs="Calibri"/>
        </w:rPr>
        <w:t>assumption</w:t>
      </w:r>
      <w:r>
        <w:rPr>
          <w:rFonts w:cs="Calibri"/>
        </w:rPr>
        <w:t xml:space="preserve"> about the </w:t>
      </w:r>
      <w:r w:rsidRPr="00B168C0">
        <w:rPr>
          <w:rFonts w:cs="Calibri"/>
        </w:rPr>
        <w:t xml:space="preserve">final demand from households for </w:t>
      </w:r>
      <w:r>
        <w:rPr>
          <w:rFonts w:cs="Calibri"/>
        </w:rPr>
        <w:t>h</w:t>
      </w:r>
      <w:r w:rsidRPr="00B168C0">
        <w:rPr>
          <w:rFonts w:cs="Calibri"/>
        </w:rPr>
        <w:t xml:space="preserve">ousing </w:t>
      </w:r>
      <w:r>
        <w:rPr>
          <w:rFonts w:cs="Calibri"/>
        </w:rPr>
        <w:t>a</w:t>
      </w:r>
      <w:r w:rsidRPr="00B168C0">
        <w:rPr>
          <w:rFonts w:cs="Calibri"/>
        </w:rPr>
        <w:t>ssociation</w:t>
      </w:r>
      <w:r>
        <w:rPr>
          <w:rFonts w:cs="Calibri"/>
        </w:rPr>
        <w:t>s’</w:t>
      </w:r>
      <w:r w:rsidRPr="00B168C0">
        <w:rPr>
          <w:rFonts w:cs="Calibri"/>
        </w:rPr>
        <w:t xml:space="preserve"> services</w:t>
      </w:r>
      <w:r>
        <w:rPr>
          <w:rFonts w:cs="Calibri"/>
        </w:rPr>
        <w:t>. We base this</w:t>
      </w:r>
      <w:r w:rsidRPr="00B168C0">
        <w:rPr>
          <w:rFonts w:cs="Calibri"/>
        </w:rPr>
        <w:t xml:space="preserve"> on </w:t>
      </w:r>
      <w:r>
        <w:rPr>
          <w:rFonts w:cs="Calibri"/>
        </w:rPr>
        <w:t xml:space="preserve">income data from the HCA global accounts and </w:t>
      </w:r>
      <w:r w:rsidRPr="00B168C0">
        <w:rPr>
          <w:rFonts w:cs="Calibri"/>
        </w:rPr>
        <w:t>the assumption that only 45 per cent</w:t>
      </w:r>
      <w:r w:rsidRPr="00830D25">
        <w:rPr>
          <w:rStyle w:val="FootnoteReference"/>
          <w:rFonts w:ascii="HelveticaNeueLT Std" w:hAnsi="HelveticaNeueLT Std"/>
          <w:szCs w:val="16"/>
        </w:rPr>
        <w:footnoteReference w:id="13"/>
      </w:r>
      <w:r w:rsidRPr="00B168C0">
        <w:rPr>
          <w:rFonts w:cs="Calibri"/>
        </w:rPr>
        <w:t xml:space="preserve"> of rental income accruing to </w:t>
      </w:r>
      <w:r>
        <w:rPr>
          <w:rFonts w:cs="Calibri"/>
        </w:rPr>
        <w:t>h</w:t>
      </w:r>
      <w:r w:rsidRPr="00B168C0">
        <w:rPr>
          <w:rFonts w:cs="Calibri"/>
        </w:rPr>
        <w:t xml:space="preserve">ousing </w:t>
      </w:r>
      <w:r>
        <w:rPr>
          <w:rFonts w:cs="Calibri"/>
        </w:rPr>
        <w:t>a</w:t>
      </w:r>
      <w:r w:rsidRPr="00B168C0">
        <w:rPr>
          <w:rFonts w:cs="Calibri"/>
        </w:rPr>
        <w:t>ssociations i</w:t>
      </w:r>
      <w:r>
        <w:rPr>
          <w:rFonts w:cs="Calibri"/>
        </w:rPr>
        <w:t>s</w:t>
      </w:r>
      <w:r w:rsidRPr="00B168C0">
        <w:rPr>
          <w:rFonts w:cs="Calibri"/>
        </w:rPr>
        <w:t xml:space="preserve"> paid by tenants themselves, with the difference being funded by housing benefit payments made directly to housing associations.</w:t>
      </w:r>
      <w:r w:rsidRPr="00830D25">
        <w:rPr>
          <w:rStyle w:val="FootnoteReference"/>
          <w:rFonts w:ascii="HelveticaNeueLT Std" w:hAnsi="HelveticaNeueLT Std"/>
          <w:szCs w:val="16"/>
        </w:rPr>
        <w:footnoteReference w:id="14"/>
      </w:r>
    </w:p>
    <w:p w14:paraId="23088D10" w14:textId="77777777" w:rsidR="00E45BF6" w:rsidRPr="00E853F8" w:rsidRDefault="00E45BF6" w:rsidP="00E45BF6">
      <w:pPr>
        <w:spacing w:before="240" w:after="120"/>
        <w:jc w:val="both"/>
        <w:rPr>
          <w:rFonts w:cs="Calibri"/>
        </w:rPr>
      </w:pPr>
      <w:r w:rsidRPr="002E57B1">
        <w:rPr>
          <w:rFonts w:cs="Calibri"/>
        </w:rPr>
        <w:lastRenderedPageBreak/>
        <w:t>Having thus assigned explicit role</w:t>
      </w:r>
      <w:r>
        <w:rPr>
          <w:rFonts w:cs="Calibri"/>
        </w:rPr>
        <w:t>s</w:t>
      </w:r>
      <w:r w:rsidRPr="002E57B1">
        <w:rPr>
          <w:rFonts w:cs="Calibri"/>
        </w:rPr>
        <w:t xml:space="preserve"> </w:t>
      </w:r>
      <w:r>
        <w:rPr>
          <w:rFonts w:cs="Calibri"/>
        </w:rPr>
        <w:t>within the supply-use tables to (</w:t>
      </w:r>
      <w:proofErr w:type="spellStart"/>
      <w:r>
        <w:rPr>
          <w:rFonts w:cs="Calibri"/>
        </w:rPr>
        <w:t>i</w:t>
      </w:r>
      <w:proofErr w:type="spellEnd"/>
      <w:r>
        <w:rPr>
          <w:rFonts w:cs="Calibri"/>
        </w:rPr>
        <w:t xml:space="preserve">) the day-to-day activities of housing associations and (ii) the subset of industries stimulated through affordable homes investment, </w:t>
      </w:r>
      <w:r w:rsidRPr="002E57B1">
        <w:rPr>
          <w:rFonts w:cs="Calibri"/>
        </w:rPr>
        <w:t>we had the basis for asse</w:t>
      </w:r>
      <w:r>
        <w:rPr>
          <w:rFonts w:cs="Calibri"/>
        </w:rPr>
        <w:t xml:space="preserve">ssing their direct economic impacts, in terms of </w:t>
      </w:r>
      <w:r w:rsidRPr="00E853F8">
        <w:rPr>
          <w:rFonts w:cs="Calibri"/>
        </w:rPr>
        <w:t>GVA</w:t>
      </w:r>
      <w:r>
        <w:rPr>
          <w:rFonts w:cs="Calibri"/>
        </w:rPr>
        <w:t xml:space="preserve"> contributions to GDP, employment and employee compensation</w:t>
      </w:r>
      <w:r w:rsidRPr="00E853F8">
        <w:rPr>
          <w:rFonts w:cs="Calibri"/>
        </w:rPr>
        <w:t xml:space="preserve">. These are calculated within the aggregate combined use table described above. </w:t>
      </w:r>
    </w:p>
    <w:p w14:paraId="1A187176" w14:textId="77777777" w:rsidR="00E45BF6" w:rsidRDefault="00E45BF6" w:rsidP="00E45BF6">
      <w:pPr>
        <w:spacing w:before="240" w:after="120"/>
        <w:jc w:val="both"/>
        <w:rPr>
          <w:rFonts w:cs="Calibri"/>
        </w:rPr>
      </w:pPr>
      <w:r>
        <w:rPr>
          <w:rFonts w:cs="Calibri"/>
        </w:rPr>
        <w:t>The embedding process and the direct impacts also provided</w:t>
      </w:r>
      <w:r w:rsidRPr="002E57B1">
        <w:rPr>
          <w:rFonts w:cs="Calibri"/>
        </w:rPr>
        <w:t xml:space="preserve"> the ingredients required to assess the </w:t>
      </w:r>
      <w:r>
        <w:rPr>
          <w:rFonts w:cs="Calibri"/>
        </w:rPr>
        <w:t xml:space="preserve">indirect and induced </w:t>
      </w:r>
      <w:r w:rsidRPr="002E57B1">
        <w:rPr>
          <w:rFonts w:cs="Calibri"/>
        </w:rPr>
        <w:t>multiplier impa</w:t>
      </w:r>
      <w:r>
        <w:rPr>
          <w:rFonts w:cs="Calibri"/>
        </w:rPr>
        <w:t>cts of both (</w:t>
      </w:r>
      <w:proofErr w:type="spellStart"/>
      <w:r>
        <w:rPr>
          <w:rFonts w:cs="Calibri"/>
        </w:rPr>
        <w:t>i</w:t>
      </w:r>
      <w:proofErr w:type="spellEnd"/>
      <w:r>
        <w:rPr>
          <w:rFonts w:cs="Calibri"/>
        </w:rPr>
        <w:t xml:space="preserve">) and (ii) </w:t>
      </w:r>
      <w:r w:rsidRPr="002E57B1">
        <w:rPr>
          <w:rFonts w:cs="Calibri"/>
        </w:rPr>
        <w:t xml:space="preserve">through incorporation </w:t>
      </w:r>
      <w:r>
        <w:rPr>
          <w:rFonts w:cs="Calibri"/>
        </w:rPr>
        <w:t>with</w:t>
      </w:r>
      <w:r w:rsidRPr="002E57B1">
        <w:rPr>
          <w:rFonts w:cs="Calibri"/>
        </w:rPr>
        <w:t xml:space="preserve">in Cebr’s </w:t>
      </w:r>
      <w:r>
        <w:rPr>
          <w:rFonts w:cs="Calibri"/>
        </w:rPr>
        <w:t xml:space="preserve">updated </w:t>
      </w:r>
      <w:r w:rsidRPr="002E57B1">
        <w:rPr>
          <w:rFonts w:cs="Calibri"/>
        </w:rPr>
        <w:t>input-output models.</w:t>
      </w:r>
      <w:r>
        <w:rPr>
          <w:rFonts w:cs="Calibri"/>
        </w:rPr>
        <w:t xml:space="preserve">  </w:t>
      </w:r>
    </w:p>
    <w:p w14:paraId="36C57CC2" w14:textId="77777777" w:rsidR="00E45BF6" w:rsidRPr="00FA012C" w:rsidRDefault="00E45BF6" w:rsidP="00E45BF6">
      <w:pPr>
        <w:pStyle w:val="Heading2"/>
      </w:pPr>
      <w:bookmarkStart w:id="30" w:name="_Ref341814386"/>
      <w:bookmarkStart w:id="31" w:name="_Toc33694505"/>
      <w:bookmarkStart w:id="32" w:name="_Toc66786719"/>
      <w:r w:rsidRPr="00FA012C">
        <w:t>Multiplier impacts based on Leontief input-output framework</w:t>
      </w:r>
      <w:bookmarkEnd w:id="30"/>
      <w:bookmarkEnd w:id="31"/>
      <w:bookmarkEnd w:id="32"/>
    </w:p>
    <w:p w14:paraId="514FDD7E" w14:textId="77777777" w:rsidR="00E45BF6" w:rsidRPr="0034064E" w:rsidRDefault="00E45BF6" w:rsidP="007D3E32">
      <w:pPr>
        <w:spacing w:line="276" w:lineRule="auto"/>
        <w:jc w:val="both"/>
        <w:rPr>
          <w:rFonts w:cs="Calibri"/>
        </w:rPr>
      </w:pPr>
      <w:r w:rsidRPr="0034064E">
        <w:rPr>
          <w:rFonts w:cs="Calibri"/>
        </w:rPr>
        <w:t>Multipliers show the ratio of an induced change in national income to an initial change in the level of final demand spending, where the multiplier effect denotes the phenomenon whereby some initial increase (or decrease) in the rate of spending will bring about a more than proportionate increase (or decrease) in national income.  The Keynesian approach barely requires a mention but is very much grounded in macroeconomic analysis, offering little capability to analyse impacts of entities that are smaller than the whole economy.</w:t>
      </w:r>
    </w:p>
    <w:p w14:paraId="7FF0FB65" w14:textId="6982AC88" w:rsidR="00E45BF6" w:rsidRPr="0034064E" w:rsidRDefault="00E45BF6" w:rsidP="007D3E32">
      <w:pPr>
        <w:spacing w:line="276" w:lineRule="auto"/>
        <w:jc w:val="both"/>
        <w:rPr>
          <w:rFonts w:cs="Calibri"/>
        </w:rPr>
      </w:pPr>
      <w:r w:rsidRPr="0034064E">
        <w:rPr>
          <w:rFonts w:cs="Calibri"/>
        </w:rPr>
        <w:t>Input-output analysis, due largely to the work of Wassily Leontief</w:t>
      </w:r>
      <w:r w:rsidR="006E2692">
        <w:rPr>
          <w:rFonts w:cs="Calibri"/>
        </w:rPr>
        <w:t>,</w:t>
      </w:r>
      <w:r w:rsidRPr="00830D25">
        <w:rPr>
          <w:rStyle w:val="FootnoteReference"/>
          <w:rFonts w:ascii="HelveticaNeueLT Std" w:hAnsi="HelveticaNeueLT Std"/>
          <w:szCs w:val="16"/>
        </w:rPr>
        <w:footnoteReference w:id="15"/>
      </w:r>
      <w:r w:rsidRPr="0034064E">
        <w:rPr>
          <w:rFonts w:cs="Calibri"/>
        </w:rPr>
        <w:t xml:space="preserve"> while macroeconomic in the sense that it involves analysing the economy as a whole, owes its foundations and techniques to the microeconomic analysis of production and consumption.</w:t>
      </w:r>
      <w:r w:rsidRPr="00830D25">
        <w:rPr>
          <w:rStyle w:val="FootnoteReference"/>
          <w:rFonts w:ascii="HelveticaNeueLT Std" w:hAnsi="HelveticaNeueLT Std"/>
          <w:szCs w:val="16"/>
        </w:rPr>
        <w:footnoteReference w:id="16"/>
      </w:r>
      <w:r w:rsidRPr="00830D25">
        <w:rPr>
          <w:rStyle w:val="FootnoteReference"/>
          <w:rFonts w:ascii="HelveticaNeueLT Std" w:hAnsi="HelveticaNeueLT Std"/>
          <w:szCs w:val="16"/>
        </w:rPr>
        <w:t xml:space="preserve"> </w:t>
      </w:r>
      <w:r w:rsidRPr="0034064E">
        <w:rPr>
          <w:rFonts w:cs="Calibri"/>
        </w:rPr>
        <w:t xml:space="preserve">According to ten </w:t>
      </w:r>
      <w:proofErr w:type="spellStart"/>
      <w:r w:rsidRPr="0034064E">
        <w:rPr>
          <w:rFonts w:cs="Calibri"/>
        </w:rPr>
        <w:t>Raa</w:t>
      </w:r>
      <w:proofErr w:type="spellEnd"/>
      <w:r w:rsidRPr="0034064E">
        <w:rPr>
          <w:rFonts w:cs="Calibri"/>
        </w:rPr>
        <w:t xml:space="preserve"> (2005), some people argue that input-output analysis is at the interface of both, defining it as the study of industries or sectors of the economy.</w:t>
      </w:r>
    </w:p>
    <w:p w14:paraId="5AE93C9D" w14:textId="77777777" w:rsidR="00E45BF6" w:rsidRPr="0034064E" w:rsidRDefault="00E45BF6" w:rsidP="007D3E32">
      <w:pPr>
        <w:spacing w:line="276" w:lineRule="auto"/>
        <w:jc w:val="both"/>
        <w:rPr>
          <w:rFonts w:cs="Calibri"/>
        </w:rPr>
      </w:pPr>
      <w:r w:rsidRPr="0034064E">
        <w:rPr>
          <w:rFonts w:cs="Calibri"/>
        </w:rPr>
        <w:t xml:space="preserve">The well-known Leontief inverse matrix, which shows the inter-industry dependencies of an economy, is the basis for producing so-called ‘ordinary’ (or traditional) input-output multipliers.  These are some of the most important tools for measuring the total impact on output, </w:t>
      </w:r>
      <w:proofErr w:type="gramStart"/>
      <w:r w:rsidRPr="0034064E">
        <w:rPr>
          <w:rFonts w:cs="Calibri"/>
        </w:rPr>
        <w:t>employment</w:t>
      </w:r>
      <w:proofErr w:type="gramEnd"/>
      <w:r w:rsidRPr="0034064E">
        <w:rPr>
          <w:rFonts w:cs="Calibri"/>
        </w:rPr>
        <w:t xml:space="preserve"> and income when there is a change in final demand.  </w:t>
      </w:r>
    </w:p>
    <w:p w14:paraId="40C734AB" w14:textId="77777777" w:rsidR="00E45BF6" w:rsidRPr="0034064E" w:rsidRDefault="00E45BF6" w:rsidP="007D3E32">
      <w:pPr>
        <w:spacing w:line="276" w:lineRule="auto"/>
        <w:jc w:val="both"/>
        <w:rPr>
          <w:rFonts w:cs="Calibri"/>
        </w:rPr>
      </w:pPr>
      <w:r w:rsidRPr="0034064E">
        <w:rPr>
          <w:rFonts w:cs="Calibri"/>
        </w:rPr>
        <w:t xml:space="preserve">The Leontief inverse matrix can also be described as the output requirements matrix for final demand, that is, it shows the input requirements from the other sectors of the economy per unit of output produced in the sector under examination in response to </w:t>
      </w:r>
      <w:r>
        <w:rPr>
          <w:rFonts w:cs="Calibri"/>
        </w:rPr>
        <w:t>the</w:t>
      </w:r>
      <w:r w:rsidRPr="0034064E">
        <w:rPr>
          <w:rFonts w:cs="Calibri"/>
        </w:rPr>
        <w:t xml:space="preserve"> demand stimulus</w:t>
      </w:r>
      <w:r>
        <w:rPr>
          <w:rFonts w:cs="Calibri"/>
        </w:rPr>
        <w:t xml:space="preserve"> provided by the relevant set of economic activities</w:t>
      </w:r>
      <w:r w:rsidRPr="0034064E">
        <w:rPr>
          <w:rFonts w:cs="Calibri"/>
        </w:rPr>
        <w:t xml:space="preserve">.  The matrix can be used to produce two types of </w:t>
      </w:r>
      <w:proofErr w:type="gramStart"/>
      <w:r w:rsidRPr="0034064E">
        <w:rPr>
          <w:rFonts w:cs="Calibri"/>
        </w:rPr>
        <w:t>multiplier</w:t>
      </w:r>
      <w:proofErr w:type="gramEnd"/>
      <w:r w:rsidRPr="0034064E">
        <w:rPr>
          <w:rFonts w:cs="Calibri"/>
        </w:rPr>
        <w:t xml:space="preserve"> – the Type I </w:t>
      </w:r>
      <w:r w:rsidRPr="00817F61">
        <w:rPr>
          <w:rFonts w:cs="Calibri"/>
        </w:rPr>
        <w:t>multiplier</w:t>
      </w:r>
      <w:r w:rsidRPr="00817F61">
        <w:rPr>
          <w:rFonts w:cs="Calibri"/>
          <w:color w:val="404040" w:themeColor="text1" w:themeTint="BF"/>
        </w:rPr>
        <w:t xml:space="preserve"> </w:t>
      </w:r>
      <w:r w:rsidRPr="0034064E">
        <w:rPr>
          <w:rFonts w:cs="Calibri"/>
        </w:rPr>
        <w:t>incorporating direct and indirect (supply chain) impacts and the Type II multiplier incorporating induced (through higher incomes and resulting greater consumption) impacts as well.</w:t>
      </w:r>
    </w:p>
    <w:p w14:paraId="353C5199" w14:textId="77777777" w:rsidR="00E45BF6" w:rsidRDefault="00E45BF6" w:rsidP="007D3E32">
      <w:pPr>
        <w:spacing w:line="276" w:lineRule="auto"/>
        <w:jc w:val="both"/>
        <w:rPr>
          <w:rFonts w:cs="Calibri"/>
        </w:rPr>
      </w:pPr>
      <w:r w:rsidRPr="0034064E">
        <w:rPr>
          <w:rFonts w:cs="Calibri"/>
        </w:rPr>
        <w:t xml:space="preserve">Cebr’s baseline multiplier model is based on this Leontief input-output modelling approach.  </w:t>
      </w:r>
      <w:r>
        <w:rPr>
          <w:rFonts w:cs="Calibri"/>
        </w:rPr>
        <w:t>The model is</w:t>
      </w:r>
      <w:r w:rsidRPr="0034064E">
        <w:rPr>
          <w:rFonts w:cs="Calibri"/>
        </w:rPr>
        <w:t xml:space="preserve"> based on a so-called ‘domestic use’ table, from which imports are extracted from intermediate demands </w:t>
      </w:r>
      <w:proofErr w:type="gramStart"/>
      <w:r w:rsidRPr="0034064E">
        <w:rPr>
          <w:rFonts w:cs="Calibri"/>
        </w:rPr>
        <w:t>in order to</w:t>
      </w:r>
      <w:proofErr w:type="gramEnd"/>
      <w:r w:rsidRPr="0034064E">
        <w:rPr>
          <w:rFonts w:cs="Calibri"/>
        </w:rPr>
        <w:t xml:space="preserve"> focus on the domestic economy impacts of </w:t>
      </w:r>
      <w:r>
        <w:rPr>
          <w:rFonts w:cs="Calibri"/>
        </w:rPr>
        <w:t>the relevant set of economic activities</w:t>
      </w:r>
      <w:r w:rsidRPr="0034064E">
        <w:rPr>
          <w:rFonts w:cs="Calibri"/>
        </w:rPr>
        <w:t>.</w:t>
      </w:r>
      <w:r>
        <w:rPr>
          <w:rFonts w:cs="Calibri"/>
        </w:rPr>
        <w:t xml:space="preserve"> </w:t>
      </w:r>
    </w:p>
    <w:p w14:paraId="66132D60" w14:textId="77777777" w:rsidR="00E45BF6" w:rsidRPr="00FA012C" w:rsidRDefault="00E45BF6" w:rsidP="00E45BF6">
      <w:pPr>
        <w:pStyle w:val="Heading2"/>
      </w:pPr>
      <w:bookmarkStart w:id="33" w:name="_Toc33694506"/>
      <w:bookmarkStart w:id="34" w:name="_Toc66786720"/>
      <w:r w:rsidRPr="00FA012C">
        <w:lastRenderedPageBreak/>
        <w:t xml:space="preserve">Regional </w:t>
      </w:r>
      <w:r>
        <w:t>multiplier impacts</w:t>
      </w:r>
      <w:r w:rsidRPr="00FA012C">
        <w:t xml:space="preserve"> based on location quotients</w:t>
      </w:r>
      <w:bookmarkEnd w:id="33"/>
      <w:bookmarkEnd w:id="34"/>
    </w:p>
    <w:p w14:paraId="08C0B111" w14:textId="77777777" w:rsidR="00E45BF6" w:rsidRDefault="00E45BF6" w:rsidP="007D3E32">
      <w:pPr>
        <w:spacing w:line="276" w:lineRule="auto"/>
        <w:jc w:val="both"/>
        <w:rPr>
          <w:rFonts w:cs="Calibri"/>
        </w:rPr>
      </w:pPr>
      <w:r w:rsidRPr="00E92E5F">
        <w:rPr>
          <w:rFonts w:cs="Calibri"/>
        </w:rPr>
        <w:t xml:space="preserve">The starting point in determining the </w:t>
      </w:r>
      <w:r>
        <w:rPr>
          <w:rFonts w:cs="Calibri"/>
        </w:rPr>
        <w:t>economic impacts of the</w:t>
      </w:r>
      <w:r w:rsidRPr="00E92E5F">
        <w:rPr>
          <w:rFonts w:cs="Calibri"/>
        </w:rPr>
        <w:t xml:space="preserve"> activit</w:t>
      </w:r>
      <w:r>
        <w:rPr>
          <w:rFonts w:cs="Calibri"/>
        </w:rPr>
        <w:t>ies under consideration</w:t>
      </w:r>
      <w:r w:rsidRPr="00E92E5F">
        <w:rPr>
          <w:rFonts w:cs="Calibri"/>
        </w:rPr>
        <w:t xml:space="preserve"> </w:t>
      </w:r>
      <w:r>
        <w:rPr>
          <w:rFonts w:cs="Calibri"/>
        </w:rPr>
        <w:t>i</w:t>
      </w:r>
      <w:r w:rsidRPr="00E92E5F">
        <w:rPr>
          <w:rFonts w:cs="Calibri"/>
        </w:rPr>
        <w:t xml:space="preserve">n the regions was to allocate the </w:t>
      </w:r>
      <w:r>
        <w:rPr>
          <w:rFonts w:cs="Calibri"/>
        </w:rPr>
        <w:t xml:space="preserve">attributable </w:t>
      </w:r>
      <w:r w:rsidRPr="00E92E5F">
        <w:rPr>
          <w:rFonts w:cs="Calibri"/>
        </w:rPr>
        <w:t xml:space="preserve">shares of </w:t>
      </w:r>
      <w:r>
        <w:rPr>
          <w:rFonts w:cs="Calibri"/>
        </w:rPr>
        <w:t>those activities</w:t>
      </w:r>
      <w:r w:rsidRPr="00E92E5F">
        <w:rPr>
          <w:rFonts w:cs="Calibri"/>
        </w:rPr>
        <w:t xml:space="preserve"> to th</w:t>
      </w:r>
      <w:r>
        <w:rPr>
          <w:rFonts w:cs="Calibri"/>
        </w:rPr>
        <w:t xml:space="preserve">ose </w:t>
      </w:r>
      <w:r w:rsidRPr="00E92E5F">
        <w:rPr>
          <w:rFonts w:cs="Calibri"/>
        </w:rPr>
        <w:t xml:space="preserve">regions.  We did this </w:t>
      </w:r>
      <w:r>
        <w:rPr>
          <w:rFonts w:cs="Calibri"/>
        </w:rPr>
        <w:t>according to</w:t>
      </w:r>
      <w:r w:rsidRPr="00E92E5F">
        <w:rPr>
          <w:rFonts w:cs="Calibri"/>
        </w:rPr>
        <w:t xml:space="preserve"> GVA using</w:t>
      </w:r>
      <w:r>
        <w:rPr>
          <w:rFonts w:cs="Calibri"/>
        </w:rPr>
        <w:t>:</w:t>
      </w:r>
    </w:p>
    <w:p w14:paraId="63558FF2" w14:textId="77777777" w:rsidR="00E45BF6" w:rsidRDefault="00E45BF6" w:rsidP="007D3E32">
      <w:pPr>
        <w:numPr>
          <w:ilvl w:val="0"/>
          <w:numId w:val="34"/>
        </w:numPr>
        <w:spacing w:line="276" w:lineRule="auto"/>
        <w:ind w:left="426" w:hanging="142"/>
        <w:jc w:val="both"/>
        <w:rPr>
          <w:rFonts w:cs="Calibri"/>
        </w:rPr>
      </w:pPr>
      <w:r>
        <w:rPr>
          <w:rFonts w:cs="Calibri"/>
        </w:rPr>
        <w:t xml:space="preserve">For </w:t>
      </w:r>
      <w:r>
        <w:rPr>
          <w:rFonts w:cs="Calibri"/>
          <w:i/>
        </w:rPr>
        <w:t>housing association’s day-to-day activities</w:t>
      </w:r>
      <w:r>
        <w:rPr>
          <w:rFonts w:cs="Calibri"/>
        </w:rPr>
        <w:t>, the share of aggregate housing association turnover attributable to each region from the HCA global accounts.</w:t>
      </w:r>
    </w:p>
    <w:p w14:paraId="64802EA6" w14:textId="77777777" w:rsidR="00E45BF6" w:rsidRDefault="00E45BF6" w:rsidP="007D3E32">
      <w:pPr>
        <w:numPr>
          <w:ilvl w:val="0"/>
          <w:numId w:val="34"/>
        </w:numPr>
        <w:spacing w:line="276" w:lineRule="auto"/>
        <w:ind w:left="426" w:hanging="142"/>
        <w:jc w:val="both"/>
        <w:rPr>
          <w:rFonts w:cs="Calibri"/>
        </w:rPr>
      </w:pPr>
      <w:r>
        <w:rPr>
          <w:rFonts w:cs="Calibri"/>
        </w:rPr>
        <w:t xml:space="preserve">For </w:t>
      </w:r>
      <w:r>
        <w:rPr>
          <w:rFonts w:cs="Calibri"/>
          <w:i/>
        </w:rPr>
        <w:t>new affordable homes investments</w:t>
      </w:r>
      <w:r>
        <w:rPr>
          <w:rFonts w:cs="Calibri"/>
        </w:rPr>
        <w:t>, the share of affordable housing built in each region, also based on data supplied by NHF through HCA.</w:t>
      </w:r>
    </w:p>
    <w:p w14:paraId="248A7A30" w14:textId="77777777" w:rsidR="00E45BF6" w:rsidRPr="00E92E5F" w:rsidRDefault="00E45BF6" w:rsidP="007D3E32">
      <w:pPr>
        <w:spacing w:line="276" w:lineRule="auto"/>
        <w:jc w:val="both"/>
        <w:rPr>
          <w:rFonts w:cs="Calibri"/>
        </w:rPr>
      </w:pPr>
      <w:r w:rsidRPr="00E92E5F">
        <w:rPr>
          <w:rFonts w:cs="Calibri"/>
        </w:rPr>
        <w:t xml:space="preserve">The total GVA and employment impacts presented </w:t>
      </w:r>
      <w:r>
        <w:rPr>
          <w:rFonts w:cs="Calibri"/>
        </w:rPr>
        <w:t>in the results sections</w:t>
      </w:r>
      <w:r w:rsidRPr="00E92E5F">
        <w:rPr>
          <w:rFonts w:cs="Calibri"/>
        </w:rPr>
        <w:t xml:space="preserve"> </w:t>
      </w:r>
      <w:r>
        <w:rPr>
          <w:rFonts w:cs="Calibri"/>
        </w:rPr>
        <w:t>for</w:t>
      </w:r>
      <w:r w:rsidRPr="00E92E5F">
        <w:rPr>
          <w:rFonts w:cs="Calibri"/>
        </w:rPr>
        <w:t xml:space="preserve"> </w:t>
      </w:r>
      <w:r>
        <w:rPr>
          <w:rFonts w:cs="Calibri"/>
        </w:rPr>
        <w:t xml:space="preserve">each of </w:t>
      </w:r>
      <w:r w:rsidRPr="00E92E5F">
        <w:rPr>
          <w:rFonts w:cs="Calibri"/>
        </w:rPr>
        <w:t>the English regions were obtained by first estimating the relevant regional multipliers.</w:t>
      </w:r>
    </w:p>
    <w:p w14:paraId="6F7E3BC8" w14:textId="77777777" w:rsidR="00E45BF6" w:rsidRPr="00E92E5F" w:rsidRDefault="00E45BF6" w:rsidP="007D3E32">
      <w:pPr>
        <w:spacing w:line="276" w:lineRule="auto"/>
        <w:jc w:val="both"/>
        <w:rPr>
          <w:rFonts w:cs="Calibri"/>
        </w:rPr>
      </w:pPr>
      <w:r w:rsidRPr="00E92E5F">
        <w:rPr>
          <w:rFonts w:cs="Calibri"/>
        </w:rPr>
        <w:t>The key issue with producing regional technical coefficients</w:t>
      </w:r>
      <w:r w:rsidRPr="00830D25">
        <w:rPr>
          <w:rStyle w:val="FootnoteReference"/>
          <w:rFonts w:ascii="HelveticaNeueLT Std" w:hAnsi="HelveticaNeueLT Std"/>
          <w:szCs w:val="16"/>
        </w:rPr>
        <w:footnoteReference w:id="17"/>
      </w:r>
      <w:r w:rsidRPr="00830D25">
        <w:rPr>
          <w:rFonts w:cs="Calibri"/>
        </w:rPr>
        <w:t xml:space="preserve"> </w:t>
      </w:r>
      <w:r w:rsidRPr="00E92E5F">
        <w:rPr>
          <w:rFonts w:cs="Calibri"/>
        </w:rPr>
        <w:t>is that reg</w:t>
      </w:r>
      <w:r>
        <w:rPr>
          <w:rFonts w:cs="Calibri"/>
        </w:rPr>
        <w:t>ional propensities to import tend to be</w:t>
      </w:r>
      <w:r w:rsidRPr="00E92E5F">
        <w:rPr>
          <w:rFonts w:cs="Calibri"/>
        </w:rPr>
        <w:t xml:space="preserve"> higher than national propensities, meaning local borders are more porous than national frontiers. We captured this through the use of ‘location </w:t>
      </w:r>
      <w:proofErr w:type="gramStart"/>
      <w:r w:rsidRPr="00E92E5F">
        <w:rPr>
          <w:rFonts w:cs="Calibri"/>
        </w:rPr>
        <w:t>quotients’</w:t>
      </w:r>
      <w:proofErr w:type="gramEnd"/>
      <w:r w:rsidRPr="00E92E5F">
        <w:rPr>
          <w:rFonts w:cs="Calibri"/>
        </w:rPr>
        <w:t>.  Location quotients (LQ) involve adjusting the UK-wide technical coefficients to take account of differing proportions of local demands being satisfied locally. They are interpreted as a measure of the ability of a particular industry in a particular region to supply the demands placed upon it by other industries and by final demand in the region.</w:t>
      </w:r>
    </w:p>
    <w:p w14:paraId="58C85846" w14:textId="77777777" w:rsidR="00E45BF6" w:rsidRPr="00E92E5F" w:rsidRDefault="00E45BF6" w:rsidP="007D3E32">
      <w:pPr>
        <w:spacing w:line="276" w:lineRule="auto"/>
        <w:jc w:val="both"/>
        <w:rPr>
          <w:rFonts w:cs="Calibri"/>
        </w:rPr>
      </w:pPr>
      <w:r w:rsidRPr="00E92E5F">
        <w:rPr>
          <w:rFonts w:cs="Calibri"/>
        </w:rPr>
        <w:t>Under this interpretation</w:t>
      </w:r>
      <w:r>
        <w:rPr>
          <w:rFonts w:cs="Calibri"/>
        </w:rPr>
        <w:t>,</w:t>
      </w:r>
      <w:r w:rsidRPr="00E92E5F">
        <w:rPr>
          <w:rFonts w:cs="Calibri"/>
        </w:rPr>
        <w:t xml:space="preserve"> a LQ &gt; 1 implies that the industry is more concentrated in the region than in the </w:t>
      </w:r>
      <w:proofErr w:type="gramStart"/>
      <w:r w:rsidRPr="00E92E5F">
        <w:rPr>
          <w:rFonts w:cs="Calibri"/>
        </w:rPr>
        <w:t>UK as a whole, while</w:t>
      </w:r>
      <w:proofErr w:type="gramEnd"/>
      <w:r w:rsidRPr="00E92E5F">
        <w:rPr>
          <w:rFonts w:cs="Calibri"/>
        </w:rPr>
        <w:t xml:space="preserve"> a LQ &lt; 1 implies that the industry is less concentrated in the region than in the whole of the UK.</w:t>
      </w:r>
      <w:r w:rsidRPr="00830D25">
        <w:rPr>
          <w:rStyle w:val="FootnoteReference"/>
          <w:rFonts w:ascii="HelveticaNeueLT Std" w:hAnsi="HelveticaNeueLT Std"/>
          <w:szCs w:val="16"/>
        </w:rPr>
        <w:footnoteReference w:id="18"/>
      </w:r>
    </w:p>
    <w:p w14:paraId="18EF4F92" w14:textId="77777777" w:rsidR="00E45BF6" w:rsidRDefault="00E45BF6" w:rsidP="007D3E32">
      <w:pPr>
        <w:spacing w:line="276" w:lineRule="auto"/>
        <w:jc w:val="both"/>
        <w:rPr>
          <w:rFonts w:cs="Calibri"/>
        </w:rPr>
      </w:pPr>
      <w:r w:rsidRPr="00E92E5F">
        <w:rPr>
          <w:rFonts w:cs="Calibri"/>
        </w:rPr>
        <w:t xml:space="preserve">However, these simple location quotients assume that the differences between the UK and regional/national technical coefficients are the same across the sectors. Therefore, to capture differences between the amounts of cross-industry trade at the regional / national level and the UK level, we used more advanced Cross-Industry Location Quotients (CILQ).  CILQs take account of the relative sizes of the sectors providing and purchasing inputs. </w:t>
      </w:r>
    </w:p>
    <w:p w14:paraId="2FCC5B39" w14:textId="77777777" w:rsidR="00E45BF6" w:rsidRPr="00E92E5F" w:rsidRDefault="00E45BF6" w:rsidP="007D3E32">
      <w:pPr>
        <w:spacing w:line="276" w:lineRule="auto"/>
        <w:jc w:val="both"/>
        <w:rPr>
          <w:rFonts w:cs="Calibri"/>
        </w:rPr>
      </w:pPr>
      <w:r w:rsidRPr="00E92E5F">
        <w:rPr>
          <w:rFonts w:cs="Calibri"/>
        </w:rPr>
        <w:t>Under this interpretation</w:t>
      </w:r>
      <w:r>
        <w:rPr>
          <w:rFonts w:cs="Calibri"/>
        </w:rPr>
        <w:t>,</w:t>
      </w:r>
      <w:r w:rsidRPr="00E92E5F">
        <w:rPr>
          <w:rFonts w:cs="Calibri"/>
        </w:rPr>
        <w:t xml:space="preserve"> a CILQ &lt; 1 implies that the supplying sector is relatively small compared to the purchasing sector at the regional level, so some of the required inputs </w:t>
      </w:r>
      <w:r>
        <w:rPr>
          <w:rFonts w:cs="Calibri"/>
        </w:rPr>
        <w:t xml:space="preserve">might </w:t>
      </w:r>
      <w:r w:rsidRPr="00E92E5F">
        <w:rPr>
          <w:rFonts w:cs="Calibri"/>
        </w:rPr>
        <w:t>need to be imported from elsewhere in the UK.  A CILQ &gt; 1 means there is no need to adjust the UK technical coefficients as all the needs for the input can</w:t>
      </w:r>
      <w:r>
        <w:rPr>
          <w:rFonts w:cs="Calibri"/>
        </w:rPr>
        <w:t xml:space="preserve"> likely</w:t>
      </w:r>
      <w:r w:rsidRPr="00E92E5F">
        <w:rPr>
          <w:rFonts w:cs="Calibri"/>
        </w:rPr>
        <w:t xml:space="preserve"> be met from within the region.</w:t>
      </w:r>
    </w:p>
    <w:p w14:paraId="71E06608" w14:textId="36C1E20E" w:rsidR="00E45BF6" w:rsidRDefault="00E45BF6" w:rsidP="007D3E32">
      <w:pPr>
        <w:spacing w:line="276" w:lineRule="auto"/>
        <w:jc w:val="both"/>
        <w:rPr>
          <w:rFonts w:cs="Calibri"/>
        </w:rPr>
      </w:pPr>
      <w:r w:rsidRPr="00E92E5F">
        <w:rPr>
          <w:rFonts w:cs="Calibri"/>
        </w:rPr>
        <w:t xml:space="preserve">The results of this analysis are unique matrices of technical coefficients for each of the regions. From these, the multiplier impacts of </w:t>
      </w:r>
      <w:r>
        <w:rPr>
          <w:rFonts w:cs="Calibri"/>
        </w:rPr>
        <w:t xml:space="preserve">housing associations’ day-to-day activities and of new </w:t>
      </w:r>
      <w:r w:rsidRPr="00E92E5F">
        <w:rPr>
          <w:rFonts w:cs="Calibri"/>
        </w:rPr>
        <w:lastRenderedPageBreak/>
        <w:t xml:space="preserve">affordable </w:t>
      </w:r>
      <w:r>
        <w:rPr>
          <w:rFonts w:cs="Calibri"/>
        </w:rPr>
        <w:t>homes</w:t>
      </w:r>
      <w:r w:rsidRPr="00E92E5F">
        <w:rPr>
          <w:rFonts w:cs="Calibri"/>
        </w:rPr>
        <w:t xml:space="preserve"> </w:t>
      </w:r>
      <w:r>
        <w:rPr>
          <w:rFonts w:cs="Calibri"/>
        </w:rPr>
        <w:t>investments</w:t>
      </w:r>
      <w:r w:rsidRPr="00E92E5F">
        <w:rPr>
          <w:rFonts w:cs="Calibri"/>
        </w:rPr>
        <w:t xml:space="preserve"> in each of the regions </w:t>
      </w:r>
      <w:r>
        <w:rPr>
          <w:rFonts w:cs="Calibri"/>
        </w:rPr>
        <w:t>are determined, using a modelling approach that takes account of the different underlying structures of these regional economies.</w:t>
      </w:r>
    </w:p>
    <w:p w14:paraId="470A0F3F" w14:textId="77777777" w:rsidR="00E45BF6" w:rsidRDefault="00E45BF6">
      <w:pPr>
        <w:spacing w:after="0"/>
        <w:rPr>
          <w:rFonts w:cs="Calibri"/>
        </w:rPr>
      </w:pPr>
      <w:r>
        <w:rPr>
          <w:rFonts w:cs="Calibri"/>
        </w:rPr>
        <w:br w:type="page"/>
      </w:r>
    </w:p>
    <w:p w14:paraId="149F1A55" w14:textId="33BA6D0D" w:rsidR="00524842" w:rsidRDefault="00E45BF6" w:rsidP="008253D8">
      <w:pPr>
        <w:pStyle w:val="Heading1"/>
        <w:numPr>
          <w:ilvl w:val="0"/>
          <w:numId w:val="7"/>
        </w:numPr>
        <w:spacing w:after="120"/>
      </w:pPr>
      <w:bookmarkStart w:id="35" w:name="_Toc66786721"/>
      <w:r w:rsidRPr="00E45BF6">
        <w:rPr>
          <w:b/>
          <w:bCs/>
          <w:color w:val="008C9B" w:themeColor="text2"/>
        </w:rPr>
        <w:lastRenderedPageBreak/>
        <w:t>The multiplier results</w:t>
      </w:r>
      <w:bookmarkEnd w:id="35"/>
    </w:p>
    <w:p w14:paraId="64DC8FF0" w14:textId="21DA1FD4" w:rsidR="00E45BF6" w:rsidRPr="00817F61" w:rsidRDefault="00E45BF6" w:rsidP="007D3E32">
      <w:pPr>
        <w:spacing w:line="276" w:lineRule="auto"/>
        <w:jc w:val="both"/>
        <w:rPr>
          <w:rFonts w:cs="Calibri"/>
          <w:color w:val="404040" w:themeColor="text1" w:themeTint="BF"/>
        </w:rPr>
      </w:pPr>
      <w:r w:rsidRPr="00817F61">
        <w:rPr>
          <w:rFonts w:cs="Calibri"/>
          <w:color w:val="404040" w:themeColor="text1" w:themeTint="BF"/>
        </w:rPr>
        <w:t xml:space="preserve">The multipliers are summarised in </w:t>
      </w:r>
      <w:r w:rsidRPr="00817F61">
        <w:rPr>
          <w:rFonts w:cs="Calibri"/>
          <w:color w:val="404040" w:themeColor="text1" w:themeTint="BF"/>
        </w:rPr>
        <w:fldChar w:fldCharType="begin"/>
      </w:r>
      <w:r w:rsidRPr="00817F61">
        <w:rPr>
          <w:rFonts w:cs="Calibri"/>
          <w:color w:val="404040" w:themeColor="text1" w:themeTint="BF"/>
        </w:rPr>
        <w:instrText xml:space="preserve"> REF _Ref33694954 \h  \* MERGEFORMAT </w:instrText>
      </w:r>
      <w:r w:rsidRPr="00817F61">
        <w:rPr>
          <w:rFonts w:cs="Calibri"/>
          <w:color w:val="404040" w:themeColor="text1" w:themeTint="BF"/>
        </w:rPr>
      </w:r>
      <w:r w:rsidRPr="00817F61">
        <w:rPr>
          <w:rFonts w:cs="Calibri"/>
          <w:color w:val="404040" w:themeColor="text1" w:themeTint="BF"/>
        </w:rPr>
        <w:fldChar w:fldCharType="separate"/>
      </w:r>
      <w:r w:rsidR="00EC4C9D" w:rsidRPr="00EC4C9D">
        <w:rPr>
          <w:rFonts w:cs="Calibri"/>
          <w:color w:val="404040" w:themeColor="text1" w:themeTint="BF"/>
        </w:rPr>
        <w:t>Table 7</w:t>
      </w:r>
      <w:r w:rsidRPr="00817F61">
        <w:rPr>
          <w:rFonts w:cs="Calibri"/>
          <w:color w:val="404040" w:themeColor="text1" w:themeTint="BF"/>
        </w:rPr>
        <w:fldChar w:fldCharType="end"/>
      </w:r>
      <w:r w:rsidRPr="00817F61">
        <w:rPr>
          <w:rFonts w:cs="Calibri"/>
          <w:color w:val="404040" w:themeColor="text1" w:themeTint="BF"/>
        </w:rPr>
        <w:t xml:space="preserve"> and </w:t>
      </w:r>
      <w:r w:rsidRPr="00817F61">
        <w:rPr>
          <w:rFonts w:cs="Calibri"/>
          <w:color w:val="404040" w:themeColor="text1" w:themeTint="BF"/>
        </w:rPr>
        <w:fldChar w:fldCharType="begin"/>
      </w:r>
      <w:r w:rsidRPr="00817F61">
        <w:rPr>
          <w:rFonts w:cs="Calibri"/>
          <w:color w:val="404040" w:themeColor="text1" w:themeTint="BF"/>
        </w:rPr>
        <w:instrText xml:space="preserve"> REF _Ref33694956 \h  \* MERGEFORMAT </w:instrText>
      </w:r>
      <w:r w:rsidRPr="00817F61">
        <w:rPr>
          <w:rFonts w:cs="Calibri"/>
          <w:color w:val="404040" w:themeColor="text1" w:themeTint="BF"/>
        </w:rPr>
      </w:r>
      <w:r w:rsidRPr="00817F61">
        <w:rPr>
          <w:rFonts w:cs="Calibri"/>
          <w:color w:val="404040" w:themeColor="text1" w:themeTint="BF"/>
        </w:rPr>
        <w:fldChar w:fldCharType="separate"/>
      </w:r>
      <w:r w:rsidRPr="00817F61">
        <w:rPr>
          <w:rFonts w:cs="Calibri"/>
          <w:color w:val="404040" w:themeColor="text1" w:themeTint="BF"/>
        </w:rPr>
        <w:t>Table 8</w:t>
      </w:r>
      <w:r w:rsidRPr="00817F61">
        <w:rPr>
          <w:rFonts w:cs="Calibri"/>
          <w:color w:val="404040" w:themeColor="text1" w:themeTint="BF"/>
        </w:rPr>
        <w:fldChar w:fldCharType="end"/>
      </w:r>
      <w:r w:rsidRPr="00817F61">
        <w:rPr>
          <w:rFonts w:cs="Calibri"/>
          <w:color w:val="404040" w:themeColor="text1" w:themeTint="BF"/>
        </w:rPr>
        <w:t xml:space="preserve"> below, which show the UK level Type I and Type II multipliers for affordable homes investment and housing associations’ day-to-day activities, respectively. </w:t>
      </w:r>
    </w:p>
    <w:p w14:paraId="7C8ADFAC" w14:textId="2960D9D6" w:rsidR="00E45BF6" w:rsidRPr="00817F61" w:rsidRDefault="00E45BF6" w:rsidP="007D3E32">
      <w:pPr>
        <w:spacing w:line="276" w:lineRule="auto"/>
        <w:jc w:val="both"/>
        <w:rPr>
          <w:rFonts w:cs="Calibri"/>
          <w:color w:val="404040" w:themeColor="text1" w:themeTint="BF"/>
        </w:rPr>
      </w:pPr>
      <w:r w:rsidRPr="00817F61">
        <w:rPr>
          <w:rFonts w:cs="Calibri"/>
          <w:color w:val="404040" w:themeColor="text1" w:themeTint="BF"/>
        </w:rPr>
        <w:t>The interpretation of the multipliers, taking the GVA example, is that for every £1 of GVA generated by the beneficiary industries in delivering an affordable homes investment, an aggregate GVA impact of £2.</w:t>
      </w:r>
      <w:r w:rsidR="00522F0A">
        <w:rPr>
          <w:rFonts w:cs="Calibri"/>
          <w:color w:val="404040" w:themeColor="text1" w:themeTint="BF"/>
        </w:rPr>
        <w:t>63</w:t>
      </w:r>
      <w:r w:rsidRPr="00817F61">
        <w:rPr>
          <w:rFonts w:cs="Calibri"/>
          <w:color w:val="404040" w:themeColor="text1" w:themeTint="BF"/>
        </w:rPr>
        <w:t xml:space="preserve"> is the outcome once indirect and induced multiplier impacts are accounted for. This is a £1.</w:t>
      </w:r>
      <w:r w:rsidR="00522F0A">
        <w:rPr>
          <w:rFonts w:cs="Calibri"/>
          <w:color w:val="404040" w:themeColor="text1" w:themeTint="BF"/>
        </w:rPr>
        <w:t>63</w:t>
      </w:r>
      <w:r w:rsidRPr="00817F61">
        <w:rPr>
          <w:rFonts w:cs="Calibri"/>
          <w:color w:val="404040" w:themeColor="text1" w:themeTint="BF"/>
        </w:rPr>
        <w:t xml:space="preserve"> stimulus through the ‘composite’ supply chain of the beneficiary industries and through the spending of the direct and indirect employees of the beneficiary industries in the wider economy on the final goods and services required by households.</w:t>
      </w:r>
    </w:p>
    <w:p w14:paraId="76B3C27E" w14:textId="05FEC6C5" w:rsidR="00E45BF6" w:rsidRDefault="00E45BF6" w:rsidP="00E45BF6">
      <w:pPr>
        <w:pStyle w:val="Caption"/>
        <w:keepNext/>
      </w:pPr>
      <w:bookmarkStart w:id="36" w:name="_Ref33694954"/>
      <w:r w:rsidRPr="001502E8">
        <w:t xml:space="preserve">Table </w:t>
      </w:r>
      <w:r w:rsidR="00E6080E">
        <w:fldChar w:fldCharType="begin"/>
      </w:r>
      <w:r w:rsidR="00E6080E">
        <w:instrText xml:space="preserve"> SEQ Table \* ARABIC </w:instrText>
      </w:r>
      <w:r w:rsidR="00E6080E">
        <w:fldChar w:fldCharType="separate"/>
      </w:r>
      <w:r w:rsidR="00142F7F" w:rsidRPr="001502E8">
        <w:rPr>
          <w:noProof/>
        </w:rPr>
        <w:t>7</w:t>
      </w:r>
      <w:r w:rsidR="00E6080E">
        <w:rPr>
          <w:noProof/>
        </w:rPr>
        <w:fldChar w:fldCharType="end"/>
      </w:r>
      <w:bookmarkEnd w:id="36"/>
      <w:r w:rsidR="00830D25" w:rsidRPr="001502E8">
        <w:t>:</w:t>
      </w:r>
      <w:r w:rsidRPr="001502E8">
        <w:t xml:space="preserve"> Affordable homes investment Type I and II UK level multipliers</w:t>
      </w:r>
    </w:p>
    <w:tbl>
      <w:tblPr>
        <w:tblStyle w:val="TableGrid"/>
        <w:tblW w:w="0" w:type="auto"/>
        <w:jc w:val="center"/>
        <w:tblLook w:val="04A0" w:firstRow="1" w:lastRow="0" w:firstColumn="1" w:lastColumn="0" w:noHBand="0" w:noVBand="1"/>
      </w:tblPr>
      <w:tblGrid>
        <w:gridCol w:w="2551"/>
        <w:gridCol w:w="1417"/>
        <w:gridCol w:w="1417"/>
      </w:tblGrid>
      <w:tr w:rsidR="00E45BF6" w14:paraId="6283BE0E" w14:textId="77777777" w:rsidTr="00817F61">
        <w:trPr>
          <w:trHeight w:hRule="exact" w:val="340"/>
          <w:jc w:val="center"/>
        </w:trPr>
        <w:tc>
          <w:tcPr>
            <w:tcW w:w="2551" w:type="dxa"/>
            <w:tcBorders>
              <w:top w:val="single" w:sz="4" w:space="0" w:color="auto"/>
              <w:left w:val="single" w:sz="4" w:space="0" w:color="auto"/>
              <w:bottom w:val="single" w:sz="4" w:space="0" w:color="auto"/>
              <w:right w:val="single" w:sz="4" w:space="0" w:color="auto"/>
            </w:tcBorders>
            <w:shd w:val="clear" w:color="auto" w:fill="008C9B" w:themeFill="text2"/>
          </w:tcPr>
          <w:p w14:paraId="69394319" w14:textId="77777777" w:rsidR="00E45BF6" w:rsidRPr="00A43FE5" w:rsidRDefault="00E45BF6" w:rsidP="008253D8">
            <w:pPr>
              <w:rPr>
                <w:b/>
                <w:color w:val="FFFFFF" w:themeColor="background1"/>
                <w:sz w:val="20"/>
              </w:rPr>
            </w:pPr>
            <w:r>
              <w:rPr>
                <w:b/>
                <w:color w:val="FFFFFF" w:themeColor="background1"/>
                <w:sz w:val="20"/>
              </w:rPr>
              <w:t>New affordable homes</w:t>
            </w:r>
          </w:p>
        </w:tc>
        <w:tc>
          <w:tcPr>
            <w:tcW w:w="1417" w:type="dxa"/>
            <w:tcBorders>
              <w:top w:val="single" w:sz="4" w:space="0" w:color="auto"/>
              <w:left w:val="single" w:sz="4" w:space="0" w:color="auto"/>
              <w:bottom w:val="single" w:sz="4" w:space="0" w:color="auto"/>
              <w:right w:val="single" w:sz="4" w:space="0" w:color="auto"/>
            </w:tcBorders>
            <w:shd w:val="clear" w:color="auto" w:fill="008C9B" w:themeFill="text2"/>
          </w:tcPr>
          <w:p w14:paraId="54D00281" w14:textId="77777777" w:rsidR="00E45BF6" w:rsidRDefault="00E45BF6" w:rsidP="008253D8">
            <w:pPr>
              <w:jc w:val="center"/>
              <w:rPr>
                <w:b/>
                <w:color w:val="FFFFFF" w:themeColor="background1"/>
                <w:sz w:val="20"/>
              </w:rPr>
            </w:pPr>
            <w:r>
              <w:rPr>
                <w:b/>
                <w:color w:val="FFFFFF" w:themeColor="background1"/>
                <w:sz w:val="20"/>
              </w:rPr>
              <w:t>Type I</w:t>
            </w:r>
          </w:p>
        </w:tc>
        <w:tc>
          <w:tcPr>
            <w:tcW w:w="1417" w:type="dxa"/>
            <w:tcBorders>
              <w:top w:val="single" w:sz="4" w:space="0" w:color="auto"/>
              <w:left w:val="single" w:sz="4" w:space="0" w:color="auto"/>
              <w:bottom w:val="single" w:sz="4" w:space="0" w:color="auto"/>
              <w:right w:val="single" w:sz="4" w:space="0" w:color="auto"/>
            </w:tcBorders>
            <w:shd w:val="clear" w:color="auto" w:fill="008C9B" w:themeFill="text2"/>
          </w:tcPr>
          <w:p w14:paraId="4AFCE255" w14:textId="77777777" w:rsidR="00E45BF6" w:rsidRPr="00A43FE5" w:rsidRDefault="00E45BF6" w:rsidP="008253D8">
            <w:pPr>
              <w:jc w:val="center"/>
              <w:rPr>
                <w:b/>
                <w:color w:val="FFFFFF" w:themeColor="background1"/>
                <w:sz w:val="20"/>
              </w:rPr>
            </w:pPr>
            <w:r>
              <w:rPr>
                <w:b/>
                <w:color w:val="FFFFFF" w:themeColor="background1"/>
                <w:sz w:val="20"/>
              </w:rPr>
              <w:t>Type II</w:t>
            </w:r>
          </w:p>
        </w:tc>
      </w:tr>
      <w:tr w:rsidR="00E45BF6" w14:paraId="58CA3C78" w14:textId="77777777" w:rsidTr="00817F61">
        <w:trPr>
          <w:trHeight w:hRule="exact" w:val="284"/>
          <w:jc w:val="center"/>
        </w:trPr>
        <w:tc>
          <w:tcPr>
            <w:tcW w:w="2551" w:type="dxa"/>
            <w:tcBorders>
              <w:top w:val="single" w:sz="4" w:space="0" w:color="auto"/>
              <w:left w:val="single" w:sz="4" w:space="0" w:color="auto"/>
              <w:bottom w:val="nil"/>
              <w:right w:val="single" w:sz="4" w:space="0" w:color="auto"/>
            </w:tcBorders>
          </w:tcPr>
          <w:p w14:paraId="731EFD7E" w14:textId="77777777" w:rsidR="00E45BF6" w:rsidRPr="00A43FE5" w:rsidRDefault="00E45BF6" w:rsidP="008253D8">
            <w:pPr>
              <w:rPr>
                <w:b/>
                <w:sz w:val="20"/>
              </w:rPr>
            </w:pPr>
            <w:r w:rsidRPr="00A43FE5">
              <w:rPr>
                <w:b/>
                <w:sz w:val="20"/>
              </w:rPr>
              <w:t>GVA</w:t>
            </w:r>
          </w:p>
        </w:tc>
        <w:tc>
          <w:tcPr>
            <w:tcW w:w="1417" w:type="dxa"/>
            <w:tcBorders>
              <w:top w:val="single" w:sz="4" w:space="0" w:color="auto"/>
              <w:left w:val="single" w:sz="4" w:space="0" w:color="auto"/>
              <w:bottom w:val="nil"/>
              <w:right w:val="single" w:sz="4" w:space="0" w:color="auto"/>
            </w:tcBorders>
          </w:tcPr>
          <w:p w14:paraId="06EFC5E2" w14:textId="0F38D534" w:rsidR="00E45BF6" w:rsidRPr="00A43FE5" w:rsidRDefault="00522F0A" w:rsidP="008253D8">
            <w:pPr>
              <w:jc w:val="center"/>
              <w:rPr>
                <w:sz w:val="20"/>
              </w:rPr>
            </w:pPr>
            <w:r>
              <w:rPr>
                <w:sz w:val="20"/>
              </w:rPr>
              <w:t>2.04</w:t>
            </w:r>
          </w:p>
        </w:tc>
        <w:tc>
          <w:tcPr>
            <w:tcW w:w="1417" w:type="dxa"/>
            <w:tcBorders>
              <w:top w:val="single" w:sz="4" w:space="0" w:color="auto"/>
              <w:left w:val="single" w:sz="4" w:space="0" w:color="auto"/>
              <w:bottom w:val="nil"/>
              <w:right w:val="single" w:sz="4" w:space="0" w:color="auto"/>
            </w:tcBorders>
          </w:tcPr>
          <w:p w14:paraId="3787335D" w14:textId="31C80A69" w:rsidR="00E45BF6" w:rsidRPr="00A43FE5" w:rsidRDefault="00E45BF6" w:rsidP="008253D8">
            <w:pPr>
              <w:jc w:val="center"/>
              <w:rPr>
                <w:sz w:val="20"/>
              </w:rPr>
            </w:pPr>
            <w:r>
              <w:rPr>
                <w:sz w:val="20"/>
              </w:rPr>
              <w:t>2.</w:t>
            </w:r>
            <w:r w:rsidR="00522F0A">
              <w:rPr>
                <w:sz w:val="20"/>
              </w:rPr>
              <w:t>63</w:t>
            </w:r>
          </w:p>
        </w:tc>
      </w:tr>
      <w:tr w:rsidR="00E45BF6" w14:paraId="70EE330F" w14:textId="77777777" w:rsidTr="00817F61">
        <w:trPr>
          <w:trHeight w:hRule="exact" w:val="284"/>
          <w:jc w:val="center"/>
        </w:trPr>
        <w:tc>
          <w:tcPr>
            <w:tcW w:w="2551" w:type="dxa"/>
            <w:tcBorders>
              <w:top w:val="nil"/>
              <w:left w:val="single" w:sz="4" w:space="0" w:color="auto"/>
              <w:bottom w:val="nil"/>
              <w:right w:val="single" w:sz="4" w:space="0" w:color="auto"/>
            </w:tcBorders>
          </w:tcPr>
          <w:p w14:paraId="617E9E95" w14:textId="77777777" w:rsidR="00E45BF6" w:rsidRPr="00A43FE5" w:rsidRDefault="00E45BF6" w:rsidP="008253D8">
            <w:pPr>
              <w:rPr>
                <w:b/>
                <w:sz w:val="20"/>
              </w:rPr>
            </w:pPr>
            <w:r w:rsidRPr="00A43FE5">
              <w:rPr>
                <w:b/>
                <w:sz w:val="20"/>
              </w:rPr>
              <w:t>Output</w:t>
            </w:r>
          </w:p>
        </w:tc>
        <w:tc>
          <w:tcPr>
            <w:tcW w:w="1417" w:type="dxa"/>
            <w:tcBorders>
              <w:top w:val="nil"/>
              <w:left w:val="single" w:sz="4" w:space="0" w:color="auto"/>
              <w:bottom w:val="nil"/>
              <w:right w:val="single" w:sz="4" w:space="0" w:color="auto"/>
            </w:tcBorders>
          </w:tcPr>
          <w:p w14:paraId="5196B5E9" w14:textId="322FE4CD" w:rsidR="00E45BF6" w:rsidRPr="00A43FE5" w:rsidRDefault="00522F0A" w:rsidP="008253D8">
            <w:pPr>
              <w:jc w:val="center"/>
              <w:rPr>
                <w:sz w:val="20"/>
              </w:rPr>
            </w:pPr>
            <w:r>
              <w:rPr>
                <w:sz w:val="20"/>
              </w:rPr>
              <w:t>2.00</w:t>
            </w:r>
          </w:p>
        </w:tc>
        <w:tc>
          <w:tcPr>
            <w:tcW w:w="1417" w:type="dxa"/>
            <w:tcBorders>
              <w:top w:val="nil"/>
              <w:left w:val="single" w:sz="4" w:space="0" w:color="auto"/>
              <w:bottom w:val="nil"/>
              <w:right w:val="single" w:sz="4" w:space="0" w:color="auto"/>
            </w:tcBorders>
          </w:tcPr>
          <w:p w14:paraId="1DCD882F" w14:textId="6ED300D5" w:rsidR="00E45BF6" w:rsidRPr="00A43FE5" w:rsidRDefault="00E45BF6" w:rsidP="008253D8">
            <w:pPr>
              <w:jc w:val="center"/>
              <w:rPr>
                <w:sz w:val="20"/>
              </w:rPr>
            </w:pPr>
            <w:r>
              <w:rPr>
                <w:sz w:val="20"/>
              </w:rPr>
              <w:t>2.</w:t>
            </w:r>
            <w:r w:rsidR="00522F0A">
              <w:rPr>
                <w:sz w:val="20"/>
              </w:rPr>
              <w:t>44</w:t>
            </w:r>
          </w:p>
        </w:tc>
      </w:tr>
      <w:tr w:rsidR="00E45BF6" w14:paraId="359A4B32" w14:textId="77777777" w:rsidTr="00817F61">
        <w:trPr>
          <w:trHeight w:hRule="exact" w:val="284"/>
          <w:jc w:val="center"/>
        </w:trPr>
        <w:tc>
          <w:tcPr>
            <w:tcW w:w="2551" w:type="dxa"/>
            <w:tcBorders>
              <w:top w:val="nil"/>
              <w:left w:val="single" w:sz="4" w:space="0" w:color="auto"/>
              <w:bottom w:val="nil"/>
              <w:right w:val="single" w:sz="4" w:space="0" w:color="auto"/>
            </w:tcBorders>
          </w:tcPr>
          <w:p w14:paraId="7D29CB4B" w14:textId="77777777" w:rsidR="00E45BF6" w:rsidRPr="00A43FE5" w:rsidRDefault="00E45BF6" w:rsidP="008253D8">
            <w:pPr>
              <w:rPr>
                <w:b/>
                <w:sz w:val="20"/>
              </w:rPr>
            </w:pPr>
            <w:r w:rsidRPr="00A43FE5">
              <w:rPr>
                <w:b/>
                <w:sz w:val="20"/>
              </w:rPr>
              <w:t>Income</w:t>
            </w:r>
          </w:p>
        </w:tc>
        <w:tc>
          <w:tcPr>
            <w:tcW w:w="1417" w:type="dxa"/>
            <w:tcBorders>
              <w:top w:val="nil"/>
              <w:left w:val="single" w:sz="4" w:space="0" w:color="auto"/>
              <w:bottom w:val="nil"/>
              <w:right w:val="single" w:sz="4" w:space="0" w:color="auto"/>
            </w:tcBorders>
          </w:tcPr>
          <w:p w14:paraId="4768FE65" w14:textId="53043230" w:rsidR="00E45BF6" w:rsidRPr="00A43FE5" w:rsidRDefault="00522F0A" w:rsidP="008253D8">
            <w:pPr>
              <w:jc w:val="center"/>
              <w:rPr>
                <w:sz w:val="20"/>
              </w:rPr>
            </w:pPr>
            <w:r>
              <w:rPr>
                <w:sz w:val="20"/>
              </w:rPr>
              <w:t>2.24</w:t>
            </w:r>
          </w:p>
        </w:tc>
        <w:tc>
          <w:tcPr>
            <w:tcW w:w="1417" w:type="dxa"/>
            <w:tcBorders>
              <w:top w:val="nil"/>
              <w:left w:val="single" w:sz="4" w:space="0" w:color="auto"/>
              <w:bottom w:val="nil"/>
              <w:right w:val="single" w:sz="4" w:space="0" w:color="auto"/>
            </w:tcBorders>
          </w:tcPr>
          <w:p w14:paraId="21F4562A" w14:textId="053168C2" w:rsidR="00E45BF6" w:rsidRPr="00A43FE5" w:rsidRDefault="00E45BF6" w:rsidP="008253D8">
            <w:pPr>
              <w:jc w:val="center"/>
              <w:rPr>
                <w:sz w:val="20"/>
              </w:rPr>
            </w:pPr>
            <w:r>
              <w:rPr>
                <w:sz w:val="20"/>
              </w:rPr>
              <w:t>2.</w:t>
            </w:r>
            <w:r w:rsidR="00522F0A">
              <w:rPr>
                <w:sz w:val="20"/>
              </w:rPr>
              <w:t>84</w:t>
            </w:r>
          </w:p>
        </w:tc>
      </w:tr>
      <w:tr w:rsidR="00E45BF6" w14:paraId="0677A625" w14:textId="77777777" w:rsidTr="00817F61">
        <w:trPr>
          <w:trHeight w:hRule="exact" w:val="284"/>
          <w:jc w:val="center"/>
        </w:trPr>
        <w:tc>
          <w:tcPr>
            <w:tcW w:w="2551" w:type="dxa"/>
            <w:tcBorders>
              <w:top w:val="nil"/>
              <w:left w:val="single" w:sz="4" w:space="0" w:color="auto"/>
              <w:bottom w:val="single" w:sz="4" w:space="0" w:color="auto"/>
              <w:right w:val="single" w:sz="4" w:space="0" w:color="auto"/>
            </w:tcBorders>
          </w:tcPr>
          <w:p w14:paraId="7B439101" w14:textId="77777777" w:rsidR="00E45BF6" w:rsidRPr="00A43FE5" w:rsidRDefault="00E45BF6" w:rsidP="008253D8">
            <w:pPr>
              <w:rPr>
                <w:b/>
                <w:sz w:val="20"/>
              </w:rPr>
            </w:pPr>
            <w:r w:rsidRPr="00A43FE5">
              <w:rPr>
                <w:b/>
                <w:sz w:val="20"/>
              </w:rPr>
              <w:t>Employment</w:t>
            </w:r>
          </w:p>
        </w:tc>
        <w:tc>
          <w:tcPr>
            <w:tcW w:w="1417" w:type="dxa"/>
            <w:tcBorders>
              <w:top w:val="nil"/>
              <w:left w:val="single" w:sz="4" w:space="0" w:color="auto"/>
              <w:bottom w:val="single" w:sz="4" w:space="0" w:color="auto"/>
              <w:right w:val="single" w:sz="4" w:space="0" w:color="auto"/>
            </w:tcBorders>
          </w:tcPr>
          <w:p w14:paraId="6A1EDD61" w14:textId="7F1796F5" w:rsidR="00E45BF6" w:rsidRPr="00A43FE5" w:rsidRDefault="00522F0A" w:rsidP="008253D8">
            <w:pPr>
              <w:jc w:val="center"/>
              <w:rPr>
                <w:sz w:val="20"/>
              </w:rPr>
            </w:pPr>
            <w:r>
              <w:rPr>
                <w:sz w:val="20"/>
              </w:rPr>
              <w:t>2.02</w:t>
            </w:r>
          </w:p>
        </w:tc>
        <w:tc>
          <w:tcPr>
            <w:tcW w:w="1417" w:type="dxa"/>
            <w:tcBorders>
              <w:top w:val="nil"/>
              <w:left w:val="single" w:sz="4" w:space="0" w:color="auto"/>
              <w:bottom w:val="single" w:sz="4" w:space="0" w:color="auto"/>
              <w:right w:val="single" w:sz="4" w:space="0" w:color="auto"/>
            </w:tcBorders>
          </w:tcPr>
          <w:p w14:paraId="3D1FC28E" w14:textId="78584AA5" w:rsidR="00E45BF6" w:rsidRPr="00A43FE5" w:rsidRDefault="00E45BF6" w:rsidP="008253D8">
            <w:pPr>
              <w:jc w:val="center"/>
              <w:rPr>
                <w:sz w:val="20"/>
              </w:rPr>
            </w:pPr>
            <w:r>
              <w:rPr>
                <w:sz w:val="20"/>
              </w:rPr>
              <w:t>2.</w:t>
            </w:r>
            <w:r w:rsidR="00522F0A">
              <w:rPr>
                <w:sz w:val="20"/>
              </w:rPr>
              <w:t>54</w:t>
            </w:r>
          </w:p>
        </w:tc>
      </w:tr>
    </w:tbl>
    <w:p w14:paraId="372D83C7" w14:textId="77777777" w:rsidR="00E45BF6" w:rsidRDefault="00E45BF6" w:rsidP="00E45BF6"/>
    <w:p w14:paraId="682534D2" w14:textId="0391A503" w:rsidR="00E45BF6" w:rsidRPr="00817F61" w:rsidRDefault="00E45BF6" w:rsidP="007D3E32">
      <w:pPr>
        <w:spacing w:line="276" w:lineRule="auto"/>
        <w:jc w:val="both"/>
        <w:rPr>
          <w:color w:val="404040" w:themeColor="text1" w:themeTint="BF"/>
        </w:rPr>
      </w:pPr>
      <w:r w:rsidRPr="00817F61">
        <w:rPr>
          <w:color w:val="404040" w:themeColor="text1" w:themeTint="BF"/>
        </w:rPr>
        <w:t xml:space="preserve">Likewise, the multipliers in </w:t>
      </w:r>
      <w:r w:rsidRPr="00817F61">
        <w:rPr>
          <w:color w:val="404040" w:themeColor="text1" w:themeTint="BF"/>
        </w:rPr>
        <w:fldChar w:fldCharType="begin"/>
      </w:r>
      <w:r w:rsidRPr="00817F61">
        <w:rPr>
          <w:color w:val="404040" w:themeColor="text1" w:themeTint="BF"/>
        </w:rPr>
        <w:instrText xml:space="preserve"> REF _Ref33694956 \h </w:instrText>
      </w:r>
      <w:r w:rsidRPr="00817F61">
        <w:rPr>
          <w:color w:val="404040" w:themeColor="text1" w:themeTint="BF"/>
        </w:rPr>
      </w:r>
      <w:r w:rsidRPr="00817F61">
        <w:rPr>
          <w:color w:val="404040" w:themeColor="text1" w:themeTint="BF"/>
        </w:rPr>
        <w:fldChar w:fldCharType="separate"/>
      </w:r>
      <w:r w:rsidR="00142F7F">
        <w:t xml:space="preserve">Table </w:t>
      </w:r>
      <w:r w:rsidR="00142F7F">
        <w:rPr>
          <w:noProof/>
        </w:rPr>
        <w:t>8</w:t>
      </w:r>
      <w:r w:rsidRPr="00817F61">
        <w:rPr>
          <w:color w:val="404040" w:themeColor="text1" w:themeTint="BF"/>
        </w:rPr>
        <w:fldChar w:fldCharType="end"/>
      </w:r>
      <w:r w:rsidRPr="00817F61">
        <w:rPr>
          <w:color w:val="404040" w:themeColor="text1" w:themeTint="BF"/>
        </w:rPr>
        <w:fldChar w:fldCharType="begin"/>
      </w:r>
      <w:r w:rsidRPr="00817F61">
        <w:rPr>
          <w:color w:val="404040" w:themeColor="text1" w:themeTint="BF"/>
        </w:rPr>
        <w:instrText xml:space="preserve"> REF _Ref389063442 \h </w:instrText>
      </w:r>
      <w:r w:rsidRPr="00817F61">
        <w:rPr>
          <w:color w:val="404040" w:themeColor="text1" w:themeTint="BF"/>
        </w:rPr>
      </w:r>
      <w:r w:rsidRPr="00817F61">
        <w:rPr>
          <w:color w:val="404040" w:themeColor="text1" w:themeTint="BF"/>
        </w:rPr>
        <w:fldChar w:fldCharType="end"/>
      </w:r>
      <w:r w:rsidRPr="00817F61">
        <w:rPr>
          <w:color w:val="404040" w:themeColor="text1" w:themeTint="BF"/>
        </w:rPr>
        <w:t xml:space="preserve"> can be interpreted in a similar fashion. Taking the GVA example again, for every £1 of GVA generated through the day-to day activities of housing associations, the aggregate GVA impact is £2.</w:t>
      </w:r>
      <w:r w:rsidR="00522F0A">
        <w:rPr>
          <w:color w:val="404040" w:themeColor="text1" w:themeTint="BF"/>
        </w:rPr>
        <w:t>56</w:t>
      </w:r>
      <w:r w:rsidRPr="00817F61">
        <w:rPr>
          <w:color w:val="404040" w:themeColor="text1" w:themeTint="BF"/>
        </w:rPr>
        <w:t xml:space="preserve"> once the indirect and induced multiplier impacts are </w:t>
      </w:r>
      <w:proofErr w:type="gramStart"/>
      <w:r w:rsidRPr="00817F61">
        <w:rPr>
          <w:color w:val="404040" w:themeColor="text1" w:themeTint="BF"/>
        </w:rPr>
        <w:t>taken into account</w:t>
      </w:r>
      <w:proofErr w:type="gramEnd"/>
      <w:r w:rsidRPr="00817F61">
        <w:rPr>
          <w:color w:val="404040" w:themeColor="text1" w:themeTint="BF"/>
        </w:rPr>
        <w:t>. This, again, is a £1.</w:t>
      </w:r>
      <w:r w:rsidR="00522F0A">
        <w:rPr>
          <w:color w:val="404040" w:themeColor="text1" w:themeTint="BF"/>
        </w:rPr>
        <w:t>56</w:t>
      </w:r>
      <w:r w:rsidRPr="00817F61">
        <w:rPr>
          <w:color w:val="404040" w:themeColor="text1" w:themeTint="BF"/>
        </w:rPr>
        <w:t xml:space="preserve"> stimulus through the supply chains supporting </w:t>
      </w:r>
      <w:proofErr w:type="spellStart"/>
      <w:r w:rsidRPr="00817F61">
        <w:rPr>
          <w:color w:val="404040" w:themeColor="text1" w:themeTint="BF"/>
        </w:rPr>
        <w:t>HAs’</w:t>
      </w:r>
      <w:proofErr w:type="spellEnd"/>
      <w:r w:rsidRPr="00817F61">
        <w:rPr>
          <w:color w:val="404040" w:themeColor="text1" w:themeTint="BF"/>
        </w:rPr>
        <w:t xml:space="preserve"> day-to-day activities and through the spending of the direct and indirect employees of housing associations in the wider economy on final goods and services.</w:t>
      </w:r>
    </w:p>
    <w:p w14:paraId="766839B9" w14:textId="5D2B145D" w:rsidR="00E45BF6" w:rsidRDefault="00E45BF6" w:rsidP="00E45BF6">
      <w:pPr>
        <w:pStyle w:val="Caption"/>
        <w:keepNext/>
      </w:pPr>
      <w:bookmarkStart w:id="37" w:name="_Ref33694956"/>
      <w:r w:rsidRPr="001502E8">
        <w:t xml:space="preserve">Table </w:t>
      </w:r>
      <w:r w:rsidR="00E6080E">
        <w:fldChar w:fldCharType="begin"/>
      </w:r>
      <w:r w:rsidR="00E6080E">
        <w:instrText xml:space="preserve"> SEQ Table \* ARABIC </w:instrText>
      </w:r>
      <w:r w:rsidR="00E6080E">
        <w:fldChar w:fldCharType="separate"/>
      </w:r>
      <w:r w:rsidR="00142F7F" w:rsidRPr="001502E8">
        <w:rPr>
          <w:noProof/>
        </w:rPr>
        <w:t>8</w:t>
      </w:r>
      <w:r w:rsidR="00E6080E">
        <w:rPr>
          <w:noProof/>
        </w:rPr>
        <w:fldChar w:fldCharType="end"/>
      </w:r>
      <w:bookmarkEnd w:id="37"/>
      <w:r w:rsidR="00830D25" w:rsidRPr="001502E8">
        <w:t>:</w:t>
      </w:r>
      <w:r w:rsidRPr="001502E8">
        <w:t xml:space="preserve"> Housing associations' day-to-day activities Type I and II UK level multipliers</w:t>
      </w:r>
    </w:p>
    <w:tbl>
      <w:tblPr>
        <w:tblStyle w:val="TableGrid"/>
        <w:tblW w:w="0" w:type="auto"/>
        <w:jc w:val="center"/>
        <w:tblLook w:val="04A0" w:firstRow="1" w:lastRow="0" w:firstColumn="1" w:lastColumn="0" w:noHBand="0" w:noVBand="1"/>
      </w:tblPr>
      <w:tblGrid>
        <w:gridCol w:w="2551"/>
        <w:gridCol w:w="1417"/>
        <w:gridCol w:w="1417"/>
      </w:tblGrid>
      <w:tr w:rsidR="00E45BF6" w14:paraId="4084FC48" w14:textId="77777777" w:rsidTr="00817F61">
        <w:trPr>
          <w:trHeight w:hRule="exact" w:val="340"/>
          <w:jc w:val="center"/>
        </w:trPr>
        <w:tc>
          <w:tcPr>
            <w:tcW w:w="2551" w:type="dxa"/>
            <w:tcBorders>
              <w:top w:val="single" w:sz="4" w:space="0" w:color="auto"/>
              <w:left w:val="single" w:sz="4" w:space="0" w:color="auto"/>
              <w:bottom w:val="single" w:sz="4" w:space="0" w:color="auto"/>
              <w:right w:val="single" w:sz="4" w:space="0" w:color="auto"/>
            </w:tcBorders>
            <w:shd w:val="clear" w:color="auto" w:fill="008C9B" w:themeFill="text2"/>
          </w:tcPr>
          <w:p w14:paraId="177B5B75" w14:textId="77777777" w:rsidR="00E45BF6" w:rsidRPr="00A43FE5" w:rsidRDefault="00E45BF6" w:rsidP="008253D8">
            <w:pPr>
              <w:rPr>
                <w:b/>
                <w:color w:val="FFFFFF" w:themeColor="background1"/>
                <w:sz w:val="20"/>
              </w:rPr>
            </w:pPr>
            <w:r>
              <w:rPr>
                <w:b/>
                <w:color w:val="FFFFFF" w:themeColor="background1"/>
                <w:sz w:val="20"/>
              </w:rPr>
              <w:t>HA day-to-day activities</w:t>
            </w:r>
          </w:p>
        </w:tc>
        <w:tc>
          <w:tcPr>
            <w:tcW w:w="1417" w:type="dxa"/>
            <w:tcBorders>
              <w:top w:val="single" w:sz="4" w:space="0" w:color="auto"/>
              <w:left w:val="single" w:sz="4" w:space="0" w:color="auto"/>
              <w:bottom w:val="single" w:sz="4" w:space="0" w:color="auto"/>
              <w:right w:val="single" w:sz="4" w:space="0" w:color="auto"/>
            </w:tcBorders>
            <w:shd w:val="clear" w:color="auto" w:fill="008C9B" w:themeFill="text2"/>
          </w:tcPr>
          <w:p w14:paraId="727044AF" w14:textId="77777777" w:rsidR="00E45BF6" w:rsidRDefault="00E45BF6" w:rsidP="008253D8">
            <w:pPr>
              <w:jc w:val="center"/>
              <w:rPr>
                <w:b/>
                <w:color w:val="FFFFFF" w:themeColor="background1"/>
                <w:sz w:val="20"/>
              </w:rPr>
            </w:pPr>
            <w:r>
              <w:rPr>
                <w:b/>
                <w:color w:val="FFFFFF" w:themeColor="background1"/>
                <w:sz w:val="20"/>
              </w:rPr>
              <w:t>Type I</w:t>
            </w:r>
          </w:p>
        </w:tc>
        <w:tc>
          <w:tcPr>
            <w:tcW w:w="1417" w:type="dxa"/>
            <w:tcBorders>
              <w:top w:val="single" w:sz="4" w:space="0" w:color="auto"/>
              <w:left w:val="single" w:sz="4" w:space="0" w:color="auto"/>
              <w:bottom w:val="single" w:sz="4" w:space="0" w:color="auto"/>
              <w:right w:val="single" w:sz="4" w:space="0" w:color="auto"/>
            </w:tcBorders>
            <w:shd w:val="clear" w:color="auto" w:fill="008C9B" w:themeFill="text2"/>
          </w:tcPr>
          <w:p w14:paraId="5807DBB8" w14:textId="77777777" w:rsidR="00E45BF6" w:rsidRPr="00A43FE5" w:rsidRDefault="00E45BF6" w:rsidP="008253D8">
            <w:pPr>
              <w:jc w:val="center"/>
              <w:rPr>
                <w:b/>
                <w:color w:val="FFFFFF" w:themeColor="background1"/>
                <w:sz w:val="20"/>
              </w:rPr>
            </w:pPr>
            <w:r>
              <w:rPr>
                <w:b/>
                <w:color w:val="FFFFFF" w:themeColor="background1"/>
                <w:sz w:val="20"/>
              </w:rPr>
              <w:t>Type II</w:t>
            </w:r>
          </w:p>
        </w:tc>
      </w:tr>
      <w:tr w:rsidR="00E45BF6" w14:paraId="388FEC86" w14:textId="77777777" w:rsidTr="00817F61">
        <w:trPr>
          <w:trHeight w:hRule="exact" w:val="284"/>
          <w:jc w:val="center"/>
        </w:trPr>
        <w:tc>
          <w:tcPr>
            <w:tcW w:w="2551" w:type="dxa"/>
            <w:tcBorders>
              <w:top w:val="single" w:sz="4" w:space="0" w:color="auto"/>
              <w:left w:val="single" w:sz="4" w:space="0" w:color="auto"/>
              <w:bottom w:val="nil"/>
              <w:right w:val="single" w:sz="4" w:space="0" w:color="auto"/>
            </w:tcBorders>
          </w:tcPr>
          <w:p w14:paraId="48CF3936" w14:textId="77777777" w:rsidR="00E45BF6" w:rsidRPr="00A43FE5" w:rsidRDefault="00E45BF6" w:rsidP="008253D8">
            <w:pPr>
              <w:rPr>
                <w:b/>
                <w:sz w:val="20"/>
              </w:rPr>
            </w:pPr>
            <w:r w:rsidRPr="00A43FE5">
              <w:rPr>
                <w:b/>
                <w:sz w:val="20"/>
              </w:rPr>
              <w:t>GVA</w:t>
            </w:r>
          </w:p>
        </w:tc>
        <w:tc>
          <w:tcPr>
            <w:tcW w:w="1417" w:type="dxa"/>
            <w:tcBorders>
              <w:top w:val="single" w:sz="4" w:space="0" w:color="auto"/>
              <w:left w:val="single" w:sz="4" w:space="0" w:color="auto"/>
              <w:bottom w:val="nil"/>
              <w:right w:val="single" w:sz="4" w:space="0" w:color="auto"/>
            </w:tcBorders>
          </w:tcPr>
          <w:p w14:paraId="50D2AB67" w14:textId="35C03537" w:rsidR="00E45BF6" w:rsidRPr="00A43FE5" w:rsidRDefault="00E45BF6" w:rsidP="008253D8">
            <w:pPr>
              <w:jc w:val="center"/>
              <w:rPr>
                <w:sz w:val="20"/>
              </w:rPr>
            </w:pPr>
            <w:r>
              <w:rPr>
                <w:sz w:val="20"/>
              </w:rPr>
              <w:t>1.</w:t>
            </w:r>
            <w:r w:rsidR="00522F0A">
              <w:rPr>
                <w:sz w:val="20"/>
              </w:rPr>
              <w:t>97</w:t>
            </w:r>
          </w:p>
        </w:tc>
        <w:tc>
          <w:tcPr>
            <w:tcW w:w="1417" w:type="dxa"/>
            <w:tcBorders>
              <w:top w:val="single" w:sz="4" w:space="0" w:color="auto"/>
              <w:left w:val="single" w:sz="4" w:space="0" w:color="auto"/>
              <w:bottom w:val="nil"/>
              <w:right w:val="single" w:sz="4" w:space="0" w:color="auto"/>
            </w:tcBorders>
          </w:tcPr>
          <w:p w14:paraId="3D065FA4" w14:textId="7E8B811F" w:rsidR="00E45BF6" w:rsidRPr="00A43FE5" w:rsidRDefault="00E45BF6" w:rsidP="008253D8">
            <w:pPr>
              <w:jc w:val="center"/>
              <w:rPr>
                <w:sz w:val="20"/>
              </w:rPr>
            </w:pPr>
            <w:r>
              <w:rPr>
                <w:sz w:val="20"/>
              </w:rPr>
              <w:t>2.</w:t>
            </w:r>
            <w:r w:rsidR="00522F0A">
              <w:rPr>
                <w:sz w:val="20"/>
              </w:rPr>
              <w:t>56</w:t>
            </w:r>
          </w:p>
        </w:tc>
      </w:tr>
      <w:tr w:rsidR="00E45BF6" w14:paraId="29C6E3DE" w14:textId="77777777" w:rsidTr="00817F61">
        <w:trPr>
          <w:trHeight w:hRule="exact" w:val="284"/>
          <w:jc w:val="center"/>
        </w:trPr>
        <w:tc>
          <w:tcPr>
            <w:tcW w:w="2551" w:type="dxa"/>
            <w:tcBorders>
              <w:top w:val="nil"/>
              <w:left w:val="single" w:sz="4" w:space="0" w:color="auto"/>
              <w:bottom w:val="nil"/>
              <w:right w:val="single" w:sz="4" w:space="0" w:color="auto"/>
            </w:tcBorders>
          </w:tcPr>
          <w:p w14:paraId="04719146" w14:textId="77777777" w:rsidR="00E45BF6" w:rsidRPr="00A43FE5" w:rsidRDefault="00E45BF6" w:rsidP="008253D8">
            <w:pPr>
              <w:rPr>
                <w:b/>
                <w:sz w:val="20"/>
              </w:rPr>
            </w:pPr>
            <w:r w:rsidRPr="00A43FE5">
              <w:rPr>
                <w:b/>
                <w:sz w:val="20"/>
              </w:rPr>
              <w:t>Output</w:t>
            </w:r>
          </w:p>
        </w:tc>
        <w:tc>
          <w:tcPr>
            <w:tcW w:w="1417" w:type="dxa"/>
            <w:tcBorders>
              <w:top w:val="nil"/>
              <w:left w:val="single" w:sz="4" w:space="0" w:color="auto"/>
              <w:bottom w:val="nil"/>
              <w:right w:val="single" w:sz="4" w:space="0" w:color="auto"/>
            </w:tcBorders>
          </w:tcPr>
          <w:p w14:paraId="13DECD93" w14:textId="61B9505A" w:rsidR="00E45BF6" w:rsidRPr="00A43FE5" w:rsidRDefault="00E45BF6" w:rsidP="008253D8">
            <w:pPr>
              <w:jc w:val="center"/>
              <w:rPr>
                <w:sz w:val="20"/>
              </w:rPr>
            </w:pPr>
            <w:r>
              <w:rPr>
                <w:sz w:val="20"/>
              </w:rPr>
              <w:t>1.</w:t>
            </w:r>
            <w:r w:rsidR="00522F0A">
              <w:rPr>
                <w:sz w:val="20"/>
              </w:rPr>
              <w:t>96</w:t>
            </w:r>
          </w:p>
        </w:tc>
        <w:tc>
          <w:tcPr>
            <w:tcW w:w="1417" w:type="dxa"/>
            <w:tcBorders>
              <w:top w:val="nil"/>
              <w:left w:val="single" w:sz="4" w:space="0" w:color="auto"/>
              <w:bottom w:val="nil"/>
              <w:right w:val="single" w:sz="4" w:space="0" w:color="auto"/>
            </w:tcBorders>
          </w:tcPr>
          <w:p w14:paraId="65813B25" w14:textId="7C571567" w:rsidR="00E45BF6" w:rsidRPr="00A43FE5" w:rsidRDefault="00E45BF6" w:rsidP="008253D8">
            <w:pPr>
              <w:jc w:val="center"/>
              <w:rPr>
                <w:sz w:val="20"/>
              </w:rPr>
            </w:pPr>
            <w:r>
              <w:rPr>
                <w:sz w:val="20"/>
              </w:rPr>
              <w:t>2.</w:t>
            </w:r>
            <w:r w:rsidR="00522F0A">
              <w:rPr>
                <w:sz w:val="20"/>
              </w:rPr>
              <w:t>43</w:t>
            </w:r>
          </w:p>
        </w:tc>
      </w:tr>
      <w:tr w:rsidR="00E45BF6" w14:paraId="0ABF923C" w14:textId="77777777" w:rsidTr="00817F61">
        <w:trPr>
          <w:trHeight w:hRule="exact" w:val="284"/>
          <w:jc w:val="center"/>
        </w:trPr>
        <w:tc>
          <w:tcPr>
            <w:tcW w:w="2551" w:type="dxa"/>
            <w:tcBorders>
              <w:top w:val="nil"/>
              <w:left w:val="single" w:sz="4" w:space="0" w:color="auto"/>
              <w:bottom w:val="nil"/>
              <w:right w:val="single" w:sz="4" w:space="0" w:color="auto"/>
            </w:tcBorders>
          </w:tcPr>
          <w:p w14:paraId="4E2084EE" w14:textId="77777777" w:rsidR="00E45BF6" w:rsidRPr="00A43FE5" w:rsidRDefault="00E45BF6" w:rsidP="008253D8">
            <w:pPr>
              <w:rPr>
                <w:b/>
                <w:sz w:val="20"/>
              </w:rPr>
            </w:pPr>
            <w:r w:rsidRPr="00A43FE5">
              <w:rPr>
                <w:b/>
                <w:sz w:val="20"/>
              </w:rPr>
              <w:t>Income</w:t>
            </w:r>
          </w:p>
        </w:tc>
        <w:tc>
          <w:tcPr>
            <w:tcW w:w="1417" w:type="dxa"/>
            <w:tcBorders>
              <w:top w:val="nil"/>
              <w:left w:val="single" w:sz="4" w:space="0" w:color="auto"/>
              <w:bottom w:val="nil"/>
              <w:right w:val="single" w:sz="4" w:space="0" w:color="auto"/>
            </w:tcBorders>
          </w:tcPr>
          <w:p w14:paraId="50986AAA" w14:textId="0EF02573" w:rsidR="00E45BF6" w:rsidRPr="00A43FE5" w:rsidRDefault="00E45BF6" w:rsidP="008253D8">
            <w:pPr>
              <w:jc w:val="center"/>
              <w:rPr>
                <w:sz w:val="20"/>
              </w:rPr>
            </w:pPr>
            <w:r>
              <w:rPr>
                <w:sz w:val="20"/>
              </w:rPr>
              <w:t>1.</w:t>
            </w:r>
            <w:r w:rsidR="00522F0A">
              <w:rPr>
                <w:sz w:val="20"/>
              </w:rPr>
              <w:t>80</w:t>
            </w:r>
          </w:p>
        </w:tc>
        <w:tc>
          <w:tcPr>
            <w:tcW w:w="1417" w:type="dxa"/>
            <w:tcBorders>
              <w:top w:val="nil"/>
              <w:left w:val="single" w:sz="4" w:space="0" w:color="auto"/>
              <w:bottom w:val="nil"/>
              <w:right w:val="single" w:sz="4" w:space="0" w:color="auto"/>
            </w:tcBorders>
          </w:tcPr>
          <w:p w14:paraId="0240CB30" w14:textId="5051E4D0" w:rsidR="00E45BF6" w:rsidRPr="00A43FE5" w:rsidRDefault="00E45BF6" w:rsidP="008253D8">
            <w:pPr>
              <w:jc w:val="center"/>
              <w:rPr>
                <w:sz w:val="20"/>
              </w:rPr>
            </w:pPr>
            <w:r>
              <w:rPr>
                <w:sz w:val="20"/>
              </w:rPr>
              <w:t>2.</w:t>
            </w:r>
            <w:r w:rsidR="00142F7F">
              <w:rPr>
                <w:sz w:val="20"/>
              </w:rPr>
              <w:t>2</w:t>
            </w:r>
            <w:r w:rsidR="00522F0A">
              <w:rPr>
                <w:sz w:val="20"/>
              </w:rPr>
              <w:t>7</w:t>
            </w:r>
          </w:p>
        </w:tc>
      </w:tr>
      <w:tr w:rsidR="00E45BF6" w14:paraId="786296B6" w14:textId="77777777" w:rsidTr="00817F61">
        <w:trPr>
          <w:trHeight w:hRule="exact" w:val="284"/>
          <w:jc w:val="center"/>
        </w:trPr>
        <w:tc>
          <w:tcPr>
            <w:tcW w:w="2551" w:type="dxa"/>
            <w:tcBorders>
              <w:top w:val="nil"/>
              <w:left w:val="single" w:sz="4" w:space="0" w:color="auto"/>
              <w:bottom w:val="single" w:sz="4" w:space="0" w:color="auto"/>
              <w:right w:val="single" w:sz="4" w:space="0" w:color="auto"/>
            </w:tcBorders>
          </w:tcPr>
          <w:p w14:paraId="7259B833" w14:textId="77777777" w:rsidR="00E45BF6" w:rsidRPr="00A43FE5" w:rsidRDefault="00E45BF6" w:rsidP="008253D8">
            <w:pPr>
              <w:rPr>
                <w:b/>
                <w:sz w:val="20"/>
              </w:rPr>
            </w:pPr>
            <w:r w:rsidRPr="00A43FE5">
              <w:rPr>
                <w:b/>
                <w:sz w:val="20"/>
              </w:rPr>
              <w:t>Employment</w:t>
            </w:r>
          </w:p>
        </w:tc>
        <w:tc>
          <w:tcPr>
            <w:tcW w:w="1417" w:type="dxa"/>
            <w:tcBorders>
              <w:top w:val="nil"/>
              <w:left w:val="single" w:sz="4" w:space="0" w:color="auto"/>
              <w:bottom w:val="single" w:sz="4" w:space="0" w:color="auto"/>
              <w:right w:val="single" w:sz="4" w:space="0" w:color="auto"/>
            </w:tcBorders>
          </w:tcPr>
          <w:p w14:paraId="76FC7A65" w14:textId="45A2F1DC" w:rsidR="00E45BF6" w:rsidRPr="00A43FE5" w:rsidRDefault="00E45BF6" w:rsidP="008253D8">
            <w:pPr>
              <w:jc w:val="center"/>
              <w:rPr>
                <w:sz w:val="20"/>
              </w:rPr>
            </w:pPr>
            <w:r>
              <w:rPr>
                <w:sz w:val="20"/>
              </w:rPr>
              <w:t>1.</w:t>
            </w:r>
            <w:r w:rsidR="00522F0A">
              <w:rPr>
                <w:sz w:val="20"/>
              </w:rPr>
              <w:t>69</w:t>
            </w:r>
          </w:p>
        </w:tc>
        <w:tc>
          <w:tcPr>
            <w:tcW w:w="1417" w:type="dxa"/>
            <w:tcBorders>
              <w:top w:val="nil"/>
              <w:left w:val="single" w:sz="4" w:space="0" w:color="auto"/>
              <w:bottom w:val="single" w:sz="4" w:space="0" w:color="auto"/>
              <w:right w:val="single" w:sz="4" w:space="0" w:color="auto"/>
            </w:tcBorders>
          </w:tcPr>
          <w:p w14:paraId="4EF06BC0" w14:textId="3CAEBEB5" w:rsidR="00E45BF6" w:rsidRPr="00A43FE5" w:rsidRDefault="00E45BF6" w:rsidP="008253D8">
            <w:pPr>
              <w:jc w:val="center"/>
              <w:rPr>
                <w:sz w:val="20"/>
              </w:rPr>
            </w:pPr>
            <w:r>
              <w:rPr>
                <w:sz w:val="20"/>
              </w:rPr>
              <w:t>2.</w:t>
            </w:r>
            <w:r w:rsidR="00522F0A">
              <w:rPr>
                <w:sz w:val="20"/>
              </w:rPr>
              <w:t>12</w:t>
            </w:r>
          </w:p>
        </w:tc>
      </w:tr>
    </w:tbl>
    <w:p w14:paraId="793CCEE2" w14:textId="77777777" w:rsidR="00E45BF6" w:rsidRDefault="00E45BF6" w:rsidP="00E45BF6"/>
    <w:p w14:paraId="2CD99D3A" w14:textId="341D518C" w:rsidR="00E45BF6" w:rsidRPr="00817F61" w:rsidRDefault="00E45BF6" w:rsidP="007D3E32">
      <w:pPr>
        <w:spacing w:line="276" w:lineRule="auto"/>
        <w:jc w:val="both"/>
        <w:rPr>
          <w:rFonts w:cs="Calibri"/>
          <w:color w:val="404040" w:themeColor="text1" w:themeTint="BF"/>
        </w:rPr>
      </w:pPr>
      <w:r w:rsidRPr="00817F61">
        <w:rPr>
          <w:rFonts w:cs="Calibri"/>
          <w:color w:val="404040" w:themeColor="text1" w:themeTint="BF"/>
        </w:rPr>
        <w:t>The multipliers for England and the English regions are outlined in detail in</w:t>
      </w:r>
      <w:r w:rsidR="00142F7F">
        <w:rPr>
          <w:rFonts w:cs="Calibri"/>
          <w:color w:val="404040" w:themeColor="text1" w:themeTint="BF"/>
        </w:rPr>
        <w:t xml:space="preserve"> </w:t>
      </w:r>
      <w:r w:rsidR="00EC4C9D">
        <w:rPr>
          <w:rFonts w:cs="Calibri"/>
          <w:color w:val="404040" w:themeColor="text1" w:themeTint="BF"/>
        </w:rPr>
        <w:fldChar w:fldCharType="begin"/>
      </w:r>
      <w:r w:rsidR="00EC4C9D">
        <w:rPr>
          <w:rFonts w:cs="Calibri"/>
          <w:color w:val="404040" w:themeColor="text1" w:themeTint="BF"/>
        </w:rPr>
        <w:instrText xml:space="preserve"> REF _Ref66743024 \h </w:instrText>
      </w:r>
      <w:r w:rsidR="00EC4C9D">
        <w:rPr>
          <w:rFonts w:cs="Calibri"/>
          <w:color w:val="404040" w:themeColor="text1" w:themeTint="BF"/>
        </w:rPr>
      </w:r>
      <w:r w:rsidR="00EC4C9D">
        <w:rPr>
          <w:rFonts w:cs="Calibri"/>
          <w:color w:val="404040" w:themeColor="text1" w:themeTint="BF"/>
        </w:rPr>
        <w:fldChar w:fldCharType="separate"/>
      </w:r>
      <w:r w:rsidR="00EC4C9D">
        <w:t xml:space="preserve">Table </w:t>
      </w:r>
      <w:r w:rsidR="00EC4C9D">
        <w:rPr>
          <w:noProof/>
        </w:rPr>
        <w:t>9</w:t>
      </w:r>
      <w:r w:rsidR="00EC4C9D">
        <w:rPr>
          <w:rFonts w:cs="Calibri"/>
          <w:color w:val="404040" w:themeColor="text1" w:themeTint="BF"/>
        </w:rPr>
        <w:fldChar w:fldCharType="end"/>
      </w:r>
      <w:r w:rsidRPr="00817F61">
        <w:rPr>
          <w:rFonts w:cs="Calibri"/>
          <w:color w:val="404040" w:themeColor="text1" w:themeTint="BF"/>
        </w:rPr>
        <w:t xml:space="preserve"> below.</w:t>
      </w:r>
    </w:p>
    <w:p w14:paraId="33718DEB" w14:textId="205DFEAE" w:rsidR="005C2468" w:rsidRDefault="00E45BF6" w:rsidP="007D3E32">
      <w:pPr>
        <w:spacing w:line="276" w:lineRule="auto"/>
        <w:jc w:val="both"/>
        <w:rPr>
          <w:rFonts w:cs="Calibri"/>
          <w:color w:val="404040" w:themeColor="text1" w:themeTint="BF"/>
        </w:rPr>
      </w:pPr>
      <w:r w:rsidRPr="00817F61">
        <w:rPr>
          <w:rFonts w:cs="Calibri"/>
          <w:color w:val="404040" w:themeColor="text1" w:themeTint="BF"/>
        </w:rPr>
        <w:t>It is not feasible to produce comprehensive sets of local-level multiplier impacts, but they can be expected to be some fraction of the UK and the relevant regional multipliers, depending on the extent to which housing associations and the beneficiary industries that help them deliver investments in new affordable homes import inputs from outside their local economy. The LEIC allows users to specify this as an input and, in producing local level impacts, adjusts the technical coefficients underlying the broader multiplier estimates to control for the non-local sourcing of inputs at the local economy level. (This is similarly the case when the LEP or Combined Authority is chosen as the geographic scope of the assessment)</w:t>
      </w:r>
      <w:r w:rsidR="00142F7F">
        <w:rPr>
          <w:rFonts w:cs="Calibri"/>
          <w:color w:val="404040" w:themeColor="text1" w:themeTint="BF"/>
        </w:rPr>
        <w:t>.</w:t>
      </w:r>
    </w:p>
    <w:p w14:paraId="6FA123F3" w14:textId="77777777" w:rsidR="005C2468" w:rsidRDefault="005C2468">
      <w:pPr>
        <w:spacing w:after="0"/>
        <w:rPr>
          <w:rFonts w:cs="Calibri"/>
          <w:color w:val="404040" w:themeColor="text1" w:themeTint="BF"/>
        </w:rPr>
      </w:pPr>
      <w:r>
        <w:rPr>
          <w:rFonts w:cs="Calibri"/>
          <w:color w:val="404040" w:themeColor="text1" w:themeTint="BF"/>
        </w:rPr>
        <w:br w:type="page"/>
      </w:r>
    </w:p>
    <w:p w14:paraId="1E70ED36" w14:textId="77777777" w:rsidR="00142F7F" w:rsidRDefault="00142F7F" w:rsidP="00142F7F">
      <w:pPr>
        <w:pStyle w:val="Caption"/>
      </w:pPr>
      <w:bookmarkStart w:id="38" w:name="_Ref66743024"/>
      <w:bookmarkStart w:id="39" w:name="_Ref66743014"/>
      <w:r>
        <w:lastRenderedPageBreak/>
        <w:t xml:space="preserve">Table </w:t>
      </w:r>
      <w:r w:rsidR="00E6080E">
        <w:fldChar w:fldCharType="begin"/>
      </w:r>
      <w:r w:rsidR="00E6080E">
        <w:instrText xml:space="preserve"> SEQ Table \* ARABIC </w:instrText>
      </w:r>
      <w:r w:rsidR="00E6080E">
        <w:fldChar w:fldCharType="separate"/>
      </w:r>
      <w:r>
        <w:rPr>
          <w:noProof/>
        </w:rPr>
        <w:t>9</w:t>
      </w:r>
      <w:r w:rsidR="00E6080E">
        <w:rPr>
          <w:noProof/>
        </w:rPr>
        <w:fldChar w:fldCharType="end"/>
      </w:r>
      <w:bookmarkEnd w:id="38"/>
      <w:r>
        <w:t>: M</w:t>
      </w:r>
      <w:r w:rsidRPr="00D61550">
        <w:t>ultipliers</w:t>
      </w:r>
      <w:r>
        <w:t xml:space="preserve"> for England and the English regions</w:t>
      </w:r>
      <w:bookmarkEnd w:id="39"/>
    </w:p>
    <w:p w14:paraId="10C28DA3" w14:textId="207C220E" w:rsidR="00522F0A" w:rsidRPr="00522F0A" w:rsidRDefault="00C200EF" w:rsidP="00522F0A">
      <w:pPr>
        <w:jc w:val="center"/>
      </w:pPr>
      <w:r w:rsidRPr="00C200EF">
        <w:rPr>
          <w:noProof/>
        </w:rPr>
        <w:drawing>
          <wp:inline distT="0" distB="0" distL="0" distR="0" wp14:anchorId="55333D6A" wp14:editId="53136043">
            <wp:extent cx="3960000" cy="3671314"/>
            <wp:effectExtent l="0" t="0" r="2540" b="5715"/>
            <wp:docPr id="1950094300" name="Picture 1" descr="A screenshot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0094300" name="Picture 1" descr="A screenshot of a graph&#10;&#10;Description automatically generated"/>
                    <pic:cNvPicPr/>
                  </pic:nvPicPr>
                  <pic:blipFill>
                    <a:blip r:embed="rId22"/>
                    <a:stretch>
                      <a:fillRect/>
                    </a:stretch>
                  </pic:blipFill>
                  <pic:spPr>
                    <a:xfrm>
                      <a:off x="0" y="0"/>
                      <a:ext cx="3960000" cy="3671314"/>
                    </a:xfrm>
                    <a:prstGeom prst="rect">
                      <a:avLst/>
                    </a:prstGeom>
                  </pic:spPr>
                </pic:pic>
              </a:graphicData>
            </a:graphic>
          </wp:inline>
        </w:drawing>
      </w:r>
    </w:p>
    <w:p w14:paraId="3E1A9F6F" w14:textId="19FFEF39" w:rsidR="00522F0A" w:rsidRPr="00522F0A" w:rsidRDefault="00522F0A" w:rsidP="00522F0A">
      <w:pPr>
        <w:pStyle w:val="Caption"/>
        <w:jc w:val="center"/>
        <w:rPr>
          <w:b/>
          <w:bCs/>
          <w:color w:val="008C9B" w:themeColor="text2"/>
        </w:rPr>
      </w:pPr>
      <w:r w:rsidRPr="00522F0A">
        <w:rPr>
          <w:b/>
          <w:bCs/>
          <w:noProof/>
          <w:color w:val="008C9B" w:themeColor="text2"/>
        </w:rPr>
        <w:drawing>
          <wp:inline distT="0" distB="0" distL="0" distR="0" wp14:anchorId="3060AE6D" wp14:editId="4915F80C">
            <wp:extent cx="3960000" cy="3693251"/>
            <wp:effectExtent l="0" t="0" r="2540" b="2540"/>
            <wp:docPr id="619709152" name="Picture 1" descr="A screenshot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9709152" name="Picture 1" descr="A screenshot of a graph&#10;&#10;Description automatically generated"/>
                    <pic:cNvPicPr/>
                  </pic:nvPicPr>
                  <pic:blipFill>
                    <a:blip r:embed="rId23"/>
                    <a:stretch>
                      <a:fillRect/>
                    </a:stretch>
                  </pic:blipFill>
                  <pic:spPr>
                    <a:xfrm>
                      <a:off x="0" y="0"/>
                      <a:ext cx="3960000" cy="3693251"/>
                    </a:xfrm>
                    <a:prstGeom prst="rect">
                      <a:avLst/>
                    </a:prstGeom>
                  </pic:spPr>
                </pic:pic>
              </a:graphicData>
            </a:graphic>
          </wp:inline>
        </w:drawing>
      </w:r>
    </w:p>
    <w:p w14:paraId="4EBF8768" w14:textId="48567EE2" w:rsidR="00142F7F" w:rsidRPr="00142F7F" w:rsidRDefault="00142F7F" w:rsidP="00522F0A">
      <w:pPr>
        <w:pStyle w:val="Caption"/>
        <w:rPr>
          <w:b/>
          <w:bCs/>
          <w:color w:val="008C9B" w:themeColor="text2"/>
        </w:rPr>
      </w:pPr>
      <w:r>
        <w:rPr>
          <w:b/>
          <w:bCs/>
          <w:color w:val="008C9B" w:themeColor="text2"/>
        </w:rPr>
        <w:br w:type="page"/>
      </w:r>
    </w:p>
    <w:p w14:paraId="3A666424" w14:textId="5A1EF27D" w:rsidR="006E2692" w:rsidRDefault="006E2692" w:rsidP="006E2692">
      <w:pPr>
        <w:pStyle w:val="Heading1"/>
      </w:pPr>
      <w:bookmarkStart w:id="40" w:name="_Toc66786722"/>
      <w:r w:rsidRPr="00817F61">
        <w:rPr>
          <w:b/>
          <w:bCs/>
          <w:color w:val="008C9B" w:themeColor="text2"/>
        </w:rPr>
        <w:lastRenderedPageBreak/>
        <w:t>Appendix: PREVIOUS multiplier results (201</w:t>
      </w:r>
      <w:r>
        <w:rPr>
          <w:b/>
          <w:bCs/>
          <w:color w:val="008C9B" w:themeColor="text2"/>
        </w:rPr>
        <w:t>5</w:t>
      </w:r>
      <w:r>
        <w:t xml:space="preserve"> </w:t>
      </w:r>
      <w:r w:rsidRPr="00817F61">
        <w:rPr>
          <w:b/>
          <w:bCs/>
          <w:color w:val="008C9B" w:themeColor="text2"/>
        </w:rPr>
        <w:t>basis)</w:t>
      </w:r>
    </w:p>
    <w:p w14:paraId="051C983E" w14:textId="77777777" w:rsidR="006E2692" w:rsidRDefault="006E2692" w:rsidP="006E2692">
      <w:pPr>
        <w:spacing w:after="0"/>
        <w:rPr>
          <w:rFonts w:cs="Calibri"/>
          <w:color w:val="404040" w:themeColor="text1" w:themeTint="BF"/>
        </w:rPr>
      </w:pPr>
    </w:p>
    <w:p w14:paraId="350929DD" w14:textId="63CCBAEC" w:rsidR="006E2692" w:rsidRDefault="006E2692" w:rsidP="006E2692">
      <w:pPr>
        <w:pStyle w:val="Caption"/>
        <w:keepNext/>
      </w:pPr>
      <w:r>
        <w:t>Affordable homes investment Type I and II UK level multipliers, 2015 basis</w:t>
      </w:r>
    </w:p>
    <w:tbl>
      <w:tblPr>
        <w:tblStyle w:val="TableGrid"/>
        <w:tblW w:w="0" w:type="auto"/>
        <w:jc w:val="center"/>
        <w:tblLook w:val="04A0" w:firstRow="1" w:lastRow="0" w:firstColumn="1" w:lastColumn="0" w:noHBand="0" w:noVBand="1"/>
      </w:tblPr>
      <w:tblGrid>
        <w:gridCol w:w="2551"/>
        <w:gridCol w:w="1417"/>
        <w:gridCol w:w="1417"/>
      </w:tblGrid>
      <w:tr w:rsidR="006E2692" w14:paraId="2FCB1AEC" w14:textId="77777777" w:rsidTr="004367EA">
        <w:trPr>
          <w:trHeight w:hRule="exact" w:val="340"/>
          <w:jc w:val="center"/>
        </w:trPr>
        <w:tc>
          <w:tcPr>
            <w:tcW w:w="2551" w:type="dxa"/>
            <w:tcBorders>
              <w:top w:val="single" w:sz="4" w:space="0" w:color="auto"/>
              <w:left w:val="single" w:sz="4" w:space="0" w:color="auto"/>
              <w:bottom w:val="single" w:sz="4" w:space="0" w:color="auto"/>
              <w:right w:val="single" w:sz="4" w:space="0" w:color="auto"/>
            </w:tcBorders>
            <w:shd w:val="clear" w:color="auto" w:fill="008C9B" w:themeFill="text2"/>
          </w:tcPr>
          <w:p w14:paraId="3B97C4A0" w14:textId="277ACAB3" w:rsidR="006E2692" w:rsidRPr="00A43FE5" w:rsidRDefault="006E2692" w:rsidP="006E2692">
            <w:pPr>
              <w:rPr>
                <w:b/>
                <w:color w:val="FFFFFF" w:themeColor="background1"/>
                <w:sz w:val="20"/>
              </w:rPr>
            </w:pPr>
            <w:r>
              <w:rPr>
                <w:b/>
                <w:color w:val="FFFFFF" w:themeColor="background1"/>
                <w:sz w:val="20"/>
              </w:rPr>
              <w:t>New affordable homes</w:t>
            </w:r>
          </w:p>
        </w:tc>
        <w:tc>
          <w:tcPr>
            <w:tcW w:w="1417" w:type="dxa"/>
            <w:tcBorders>
              <w:top w:val="single" w:sz="4" w:space="0" w:color="auto"/>
              <w:left w:val="single" w:sz="4" w:space="0" w:color="auto"/>
              <w:bottom w:val="single" w:sz="4" w:space="0" w:color="auto"/>
              <w:right w:val="single" w:sz="4" w:space="0" w:color="auto"/>
            </w:tcBorders>
            <w:shd w:val="clear" w:color="auto" w:fill="008C9B" w:themeFill="text2"/>
          </w:tcPr>
          <w:p w14:paraId="485EF096" w14:textId="34ADBA3B" w:rsidR="006E2692" w:rsidRDefault="006E2692" w:rsidP="006E2692">
            <w:pPr>
              <w:jc w:val="center"/>
              <w:rPr>
                <w:b/>
                <w:color w:val="FFFFFF" w:themeColor="background1"/>
                <w:sz w:val="20"/>
              </w:rPr>
            </w:pPr>
            <w:r>
              <w:rPr>
                <w:b/>
                <w:color w:val="FFFFFF" w:themeColor="background1"/>
                <w:sz w:val="20"/>
              </w:rPr>
              <w:t>Type I</w:t>
            </w:r>
          </w:p>
        </w:tc>
        <w:tc>
          <w:tcPr>
            <w:tcW w:w="1417" w:type="dxa"/>
            <w:tcBorders>
              <w:top w:val="single" w:sz="4" w:space="0" w:color="auto"/>
              <w:left w:val="single" w:sz="4" w:space="0" w:color="auto"/>
              <w:bottom w:val="single" w:sz="4" w:space="0" w:color="auto"/>
              <w:right w:val="single" w:sz="4" w:space="0" w:color="auto"/>
            </w:tcBorders>
            <w:shd w:val="clear" w:color="auto" w:fill="008C9B" w:themeFill="text2"/>
          </w:tcPr>
          <w:p w14:paraId="7D4088C0" w14:textId="0FACBDF5" w:rsidR="006E2692" w:rsidRPr="00A43FE5" w:rsidRDefault="006E2692" w:rsidP="006E2692">
            <w:pPr>
              <w:jc w:val="center"/>
              <w:rPr>
                <w:b/>
                <w:color w:val="FFFFFF" w:themeColor="background1"/>
                <w:sz w:val="20"/>
              </w:rPr>
            </w:pPr>
            <w:r>
              <w:rPr>
                <w:b/>
                <w:color w:val="FFFFFF" w:themeColor="background1"/>
                <w:sz w:val="20"/>
              </w:rPr>
              <w:t>Type II</w:t>
            </w:r>
          </w:p>
        </w:tc>
      </w:tr>
      <w:tr w:rsidR="006E2692" w14:paraId="6CE89F61" w14:textId="77777777" w:rsidTr="004367EA">
        <w:trPr>
          <w:trHeight w:hRule="exact" w:val="284"/>
          <w:jc w:val="center"/>
        </w:trPr>
        <w:tc>
          <w:tcPr>
            <w:tcW w:w="2551" w:type="dxa"/>
            <w:tcBorders>
              <w:top w:val="single" w:sz="4" w:space="0" w:color="auto"/>
              <w:left w:val="single" w:sz="4" w:space="0" w:color="auto"/>
              <w:bottom w:val="nil"/>
              <w:right w:val="single" w:sz="4" w:space="0" w:color="auto"/>
            </w:tcBorders>
          </w:tcPr>
          <w:p w14:paraId="1DD49C3D" w14:textId="2C3CF8BE" w:rsidR="006E2692" w:rsidRPr="00A43FE5" w:rsidRDefault="006E2692" w:rsidP="006E2692">
            <w:pPr>
              <w:rPr>
                <w:b/>
                <w:sz w:val="20"/>
              </w:rPr>
            </w:pPr>
            <w:r w:rsidRPr="00A43FE5">
              <w:rPr>
                <w:b/>
                <w:sz w:val="20"/>
              </w:rPr>
              <w:t>GVA</w:t>
            </w:r>
          </w:p>
        </w:tc>
        <w:tc>
          <w:tcPr>
            <w:tcW w:w="1417" w:type="dxa"/>
            <w:tcBorders>
              <w:top w:val="single" w:sz="4" w:space="0" w:color="auto"/>
              <w:left w:val="single" w:sz="4" w:space="0" w:color="auto"/>
              <w:bottom w:val="nil"/>
              <w:right w:val="single" w:sz="4" w:space="0" w:color="auto"/>
            </w:tcBorders>
          </w:tcPr>
          <w:p w14:paraId="007A9519" w14:textId="6178FBC9" w:rsidR="006E2692" w:rsidRPr="00A43FE5" w:rsidRDefault="006E2692" w:rsidP="006E2692">
            <w:pPr>
              <w:jc w:val="center"/>
              <w:rPr>
                <w:sz w:val="20"/>
              </w:rPr>
            </w:pPr>
            <w:r>
              <w:rPr>
                <w:sz w:val="20"/>
              </w:rPr>
              <w:t>1.91</w:t>
            </w:r>
          </w:p>
        </w:tc>
        <w:tc>
          <w:tcPr>
            <w:tcW w:w="1417" w:type="dxa"/>
            <w:tcBorders>
              <w:top w:val="single" w:sz="4" w:space="0" w:color="auto"/>
              <w:left w:val="single" w:sz="4" w:space="0" w:color="auto"/>
              <w:bottom w:val="nil"/>
              <w:right w:val="single" w:sz="4" w:space="0" w:color="auto"/>
            </w:tcBorders>
          </w:tcPr>
          <w:p w14:paraId="79B697C0" w14:textId="79C62A81" w:rsidR="006E2692" w:rsidRPr="00A43FE5" w:rsidRDefault="006E2692" w:rsidP="006E2692">
            <w:pPr>
              <w:jc w:val="center"/>
              <w:rPr>
                <w:sz w:val="20"/>
              </w:rPr>
            </w:pPr>
            <w:r>
              <w:rPr>
                <w:sz w:val="20"/>
              </w:rPr>
              <w:t>2.48</w:t>
            </w:r>
          </w:p>
        </w:tc>
      </w:tr>
      <w:tr w:rsidR="006E2692" w14:paraId="7A7EE044" w14:textId="77777777" w:rsidTr="004367EA">
        <w:trPr>
          <w:trHeight w:hRule="exact" w:val="284"/>
          <w:jc w:val="center"/>
        </w:trPr>
        <w:tc>
          <w:tcPr>
            <w:tcW w:w="2551" w:type="dxa"/>
            <w:tcBorders>
              <w:top w:val="nil"/>
              <w:left w:val="single" w:sz="4" w:space="0" w:color="auto"/>
              <w:bottom w:val="nil"/>
              <w:right w:val="single" w:sz="4" w:space="0" w:color="auto"/>
            </w:tcBorders>
          </w:tcPr>
          <w:p w14:paraId="33373092" w14:textId="7FC652C9" w:rsidR="006E2692" w:rsidRPr="00A43FE5" w:rsidRDefault="006E2692" w:rsidP="006E2692">
            <w:pPr>
              <w:rPr>
                <w:b/>
                <w:sz w:val="20"/>
              </w:rPr>
            </w:pPr>
            <w:r w:rsidRPr="00A43FE5">
              <w:rPr>
                <w:b/>
                <w:sz w:val="20"/>
              </w:rPr>
              <w:t>Output</w:t>
            </w:r>
          </w:p>
        </w:tc>
        <w:tc>
          <w:tcPr>
            <w:tcW w:w="1417" w:type="dxa"/>
            <w:tcBorders>
              <w:top w:val="nil"/>
              <w:left w:val="single" w:sz="4" w:space="0" w:color="auto"/>
              <w:bottom w:val="nil"/>
              <w:right w:val="single" w:sz="4" w:space="0" w:color="auto"/>
            </w:tcBorders>
          </w:tcPr>
          <w:p w14:paraId="674F0CE8" w14:textId="499D386B" w:rsidR="006E2692" w:rsidRPr="00A43FE5" w:rsidRDefault="006E2692" w:rsidP="006E2692">
            <w:pPr>
              <w:jc w:val="center"/>
              <w:rPr>
                <w:sz w:val="20"/>
              </w:rPr>
            </w:pPr>
            <w:r>
              <w:rPr>
                <w:sz w:val="20"/>
              </w:rPr>
              <w:t>1.85</w:t>
            </w:r>
          </w:p>
        </w:tc>
        <w:tc>
          <w:tcPr>
            <w:tcW w:w="1417" w:type="dxa"/>
            <w:tcBorders>
              <w:top w:val="nil"/>
              <w:left w:val="single" w:sz="4" w:space="0" w:color="auto"/>
              <w:bottom w:val="nil"/>
              <w:right w:val="single" w:sz="4" w:space="0" w:color="auto"/>
            </w:tcBorders>
          </w:tcPr>
          <w:p w14:paraId="5EAEFF24" w14:textId="67179179" w:rsidR="006E2692" w:rsidRPr="00A43FE5" w:rsidRDefault="006E2692" w:rsidP="006E2692">
            <w:pPr>
              <w:jc w:val="center"/>
              <w:rPr>
                <w:sz w:val="20"/>
              </w:rPr>
            </w:pPr>
            <w:r>
              <w:rPr>
                <w:sz w:val="20"/>
              </w:rPr>
              <w:t>2.29</w:t>
            </w:r>
          </w:p>
        </w:tc>
      </w:tr>
      <w:tr w:rsidR="006E2692" w14:paraId="57E0AA4E" w14:textId="77777777" w:rsidTr="004367EA">
        <w:trPr>
          <w:trHeight w:hRule="exact" w:val="284"/>
          <w:jc w:val="center"/>
        </w:trPr>
        <w:tc>
          <w:tcPr>
            <w:tcW w:w="2551" w:type="dxa"/>
            <w:tcBorders>
              <w:top w:val="nil"/>
              <w:left w:val="single" w:sz="4" w:space="0" w:color="auto"/>
              <w:bottom w:val="nil"/>
              <w:right w:val="single" w:sz="4" w:space="0" w:color="auto"/>
            </w:tcBorders>
          </w:tcPr>
          <w:p w14:paraId="706E88E3" w14:textId="19CB7747" w:rsidR="006E2692" w:rsidRPr="00A43FE5" w:rsidRDefault="006E2692" w:rsidP="006E2692">
            <w:pPr>
              <w:rPr>
                <w:b/>
                <w:sz w:val="20"/>
              </w:rPr>
            </w:pPr>
            <w:r w:rsidRPr="00A43FE5">
              <w:rPr>
                <w:b/>
                <w:sz w:val="20"/>
              </w:rPr>
              <w:t>Income</w:t>
            </w:r>
          </w:p>
        </w:tc>
        <w:tc>
          <w:tcPr>
            <w:tcW w:w="1417" w:type="dxa"/>
            <w:tcBorders>
              <w:top w:val="nil"/>
              <w:left w:val="single" w:sz="4" w:space="0" w:color="auto"/>
              <w:bottom w:val="nil"/>
              <w:right w:val="single" w:sz="4" w:space="0" w:color="auto"/>
            </w:tcBorders>
          </w:tcPr>
          <w:p w14:paraId="5B8653CA" w14:textId="2C3F19E9" w:rsidR="006E2692" w:rsidRPr="00A43FE5" w:rsidRDefault="006E2692" w:rsidP="006E2692">
            <w:pPr>
              <w:jc w:val="center"/>
              <w:rPr>
                <w:sz w:val="20"/>
              </w:rPr>
            </w:pPr>
            <w:r>
              <w:rPr>
                <w:sz w:val="20"/>
              </w:rPr>
              <w:t>1.97</w:t>
            </w:r>
          </w:p>
        </w:tc>
        <w:tc>
          <w:tcPr>
            <w:tcW w:w="1417" w:type="dxa"/>
            <w:tcBorders>
              <w:top w:val="nil"/>
              <w:left w:val="single" w:sz="4" w:space="0" w:color="auto"/>
              <w:bottom w:val="nil"/>
              <w:right w:val="single" w:sz="4" w:space="0" w:color="auto"/>
            </w:tcBorders>
          </w:tcPr>
          <w:p w14:paraId="4B4958CE" w14:textId="08E825E2" w:rsidR="006E2692" w:rsidRPr="00A43FE5" w:rsidRDefault="006E2692" w:rsidP="006E2692">
            <w:pPr>
              <w:jc w:val="center"/>
              <w:rPr>
                <w:sz w:val="20"/>
              </w:rPr>
            </w:pPr>
            <w:r>
              <w:rPr>
                <w:sz w:val="20"/>
              </w:rPr>
              <w:t>2.43</w:t>
            </w:r>
          </w:p>
        </w:tc>
      </w:tr>
      <w:tr w:rsidR="006E2692" w14:paraId="3692A493" w14:textId="77777777" w:rsidTr="004367EA">
        <w:trPr>
          <w:trHeight w:hRule="exact" w:val="284"/>
          <w:jc w:val="center"/>
        </w:trPr>
        <w:tc>
          <w:tcPr>
            <w:tcW w:w="2551" w:type="dxa"/>
            <w:tcBorders>
              <w:top w:val="nil"/>
              <w:left w:val="single" w:sz="4" w:space="0" w:color="auto"/>
              <w:bottom w:val="single" w:sz="4" w:space="0" w:color="auto"/>
              <w:right w:val="single" w:sz="4" w:space="0" w:color="auto"/>
            </w:tcBorders>
          </w:tcPr>
          <w:p w14:paraId="60F25983" w14:textId="613538EB" w:rsidR="006E2692" w:rsidRPr="00A43FE5" w:rsidRDefault="006E2692" w:rsidP="006E2692">
            <w:pPr>
              <w:rPr>
                <w:b/>
                <w:sz w:val="20"/>
              </w:rPr>
            </w:pPr>
            <w:r w:rsidRPr="00A43FE5">
              <w:rPr>
                <w:b/>
                <w:sz w:val="20"/>
              </w:rPr>
              <w:t>Employment</w:t>
            </w:r>
          </w:p>
        </w:tc>
        <w:tc>
          <w:tcPr>
            <w:tcW w:w="1417" w:type="dxa"/>
            <w:tcBorders>
              <w:top w:val="nil"/>
              <w:left w:val="single" w:sz="4" w:space="0" w:color="auto"/>
              <w:bottom w:val="single" w:sz="4" w:space="0" w:color="auto"/>
              <w:right w:val="single" w:sz="4" w:space="0" w:color="auto"/>
            </w:tcBorders>
          </w:tcPr>
          <w:p w14:paraId="4C60D500" w14:textId="0668294E" w:rsidR="006E2692" w:rsidRPr="00A43FE5" w:rsidRDefault="006E2692" w:rsidP="006E2692">
            <w:pPr>
              <w:jc w:val="center"/>
              <w:rPr>
                <w:sz w:val="20"/>
              </w:rPr>
            </w:pPr>
            <w:r>
              <w:rPr>
                <w:sz w:val="20"/>
              </w:rPr>
              <w:t>1.88</w:t>
            </w:r>
          </w:p>
        </w:tc>
        <w:tc>
          <w:tcPr>
            <w:tcW w:w="1417" w:type="dxa"/>
            <w:tcBorders>
              <w:top w:val="nil"/>
              <w:left w:val="single" w:sz="4" w:space="0" w:color="auto"/>
              <w:bottom w:val="single" w:sz="4" w:space="0" w:color="auto"/>
              <w:right w:val="single" w:sz="4" w:space="0" w:color="auto"/>
            </w:tcBorders>
          </w:tcPr>
          <w:p w14:paraId="39D835BF" w14:textId="184E13A6" w:rsidR="006E2692" w:rsidRPr="00A43FE5" w:rsidRDefault="006E2692" w:rsidP="006E2692">
            <w:pPr>
              <w:jc w:val="center"/>
              <w:rPr>
                <w:sz w:val="20"/>
              </w:rPr>
            </w:pPr>
            <w:r>
              <w:rPr>
                <w:sz w:val="20"/>
              </w:rPr>
              <w:t>2.33</w:t>
            </w:r>
          </w:p>
        </w:tc>
      </w:tr>
    </w:tbl>
    <w:p w14:paraId="32C05A1E" w14:textId="77777777" w:rsidR="006E2692" w:rsidRDefault="006E2692" w:rsidP="006E2692">
      <w:pPr>
        <w:spacing w:after="0"/>
        <w:rPr>
          <w:rFonts w:cs="Calibri"/>
          <w:color w:val="404040" w:themeColor="text1" w:themeTint="BF"/>
        </w:rPr>
      </w:pPr>
    </w:p>
    <w:p w14:paraId="184E0C04" w14:textId="217B9965" w:rsidR="006E2692" w:rsidRDefault="006E2692" w:rsidP="006E2692">
      <w:pPr>
        <w:pStyle w:val="Caption"/>
        <w:keepNext/>
      </w:pPr>
      <w:r>
        <w:t>Housing associations' day-to-day activities Type I and II UK level multipliers, 2015 basis</w:t>
      </w:r>
    </w:p>
    <w:tbl>
      <w:tblPr>
        <w:tblStyle w:val="TableGrid"/>
        <w:tblpPr w:leftFromText="180" w:rightFromText="180" w:vertAnchor="text" w:tblpXSpec="center" w:tblpY="1"/>
        <w:tblOverlap w:val="never"/>
        <w:tblW w:w="0" w:type="auto"/>
        <w:tblLook w:val="04A0" w:firstRow="1" w:lastRow="0" w:firstColumn="1" w:lastColumn="0" w:noHBand="0" w:noVBand="1"/>
      </w:tblPr>
      <w:tblGrid>
        <w:gridCol w:w="2551"/>
        <w:gridCol w:w="1417"/>
        <w:gridCol w:w="1417"/>
      </w:tblGrid>
      <w:tr w:rsidR="006E2692" w14:paraId="3D2B6B46" w14:textId="77777777" w:rsidTr="004367EA">
        <w:trPr>
          <w:trHeight w:hRule="exact" w:val="340"/>
        </w:trPr>
        <w:tc>
          <w:tcPr>
            <w:tcW w:w="2551" w:type="dxa"/>
            <w:tcBorders>
              <w:top w:val="single" w:sz="4" w:space="0" w:color="auto"/>
              <w:left w:val="single" w:sz="4" w:space="0" w:color="auto"/>
              <w:bottom w:val="single" w:sz="4" w:space="0" w:color="auto"/>
              <w:right w:val="single" w:sz="4" w:space="0" w:color="auto"/>
            </w:tcBorders>
            <w:shd w:val="clear" w:color="auto" w:fill="008C9B" w:themeFill="text2"/>
          </w:tcPr>
          <w:p w14:paraId="052FA423" w14:textId="19E4AEE1" w:rsidR="006E2692" w:rsidRPr="00A43FE5" w:rsidRDefault="006E2692" w:rsidP="006E2692">
            <w:pPr>
              <w:rPr>
                <w:b/>
                <w:color w:val="FFFFFF" w:themeColor="background1"/>
                <w:sz w:val="20"/>
              </w:rPr>
            </w:pPr>
            <w:r>
              <w:rPr>
                <w:b/>
                <w:color w:val="FFFFFF" w:themeColor="background1"/>
                <w:sz w:val="20"/>
              </w:rPr>
              <w:t>HA day-to-day activities</w:t>
            </w:r>
          </w:p>
        </w:tc>
        <w:tc>
          <w:tcPr>
            <w:tcW w:w="1417" w:type="dxa"/>
            <w:tcBorders>
              <w:top w:val="single" w:sz="4" w:space="0" w:color="auto"/>
              <w:left w:val="single" w:sz="4" w:space="0" w:color="auto"/>
              <w:bottom w:val="single" w:sz="4" w:space="0" w:color="auto"/>
              <w:right w:val="single" w:sz="4" w:space="0" w:color="auto"/>
            </w:tcBorders>
            <w:shd w:val="clear" w:color="auto" w:fill="008C9B" w:themeFill="text2"/>
          </w:tcPr>
          <w:p w14:paraId="0FB88C6A" w14:textId="5BE774DB" w:rsidR="006E2692" w:rsidRDefault="006E2692" w:rsidP="006E2692">
            <w:pPr>
              <w:jc w:val="center"/>
              <w:rPr>
                <w:b/>
                <w:color w:val="FFFFFF" w:themeColor="background1"/>
                <w:sz w:val="20"/>
              </w:rPr>
            </w:pPr>
            <w:r>
              <w:rPr>
                <w:b/>
                <w:color w:val="FFFFFF" w:themeColor="background1"/>
                <w:sz w:val="20"/>
              </w:rPr>
              <w:t>Type I</w:t>
            </w:r>
          </w:p>
        </w:tc>
        <w:tc>
          <w:tcPr>
            <w:tcW w:w="1417" w:type="dxa"/>
            <w:tcBorders>
              <w:top w:val="single" w:sz="4" w:space="0" w:color="auto"/>
              <w:left w:val="single" w:sz="4" w:space="0" w:color="auto"/>
              <w:bottom w:val="single" w:sz="4" w:space="0" w:color="auto"/>
              <w:right w:val="single" w:sz="4" w:space="0" w:color="auto"/>
            </w:tcBorders>
            <w:shd w:val="clear" w:color="auto" w:fill="008C9B" w:themeFill="text2"/>
          </w:tcPr>
          <w:p w14:paraId="35EF6CBD" w14:textId="58C0BEB9" w:rsidR="006E2692" w:rsidRPr="00A43FE5" w:rsidRDefault="006E2692" w:rsidP="006E2692">
            <w:pPr>
              <w:jc w:val="center"/>
              <w:rPr>
                <w:b/>
                <w:color w:val="FFFFFF" w:themeColor="background1"/>
                <w:sz w:val="20"/>
              </w:rPr>
            </w:pPr>
            <w:r>
              <w:rPr>
                <w:b/>
                <w:color w:val="FFFFFF" w:themeColor="background1"/>
                <w:sz w:val="20"/>
              </w:rPr>
              <w:t>Type II</w:t>
            </w:r>
          </w:p>
        </w:tc>
      </w:tr>
      <w:tr w:rsidR="006E2692" w14:paraId="4D0F3FDA" w14:textId="77777777" w:rsidTr="004367EA">
        <w:trPr>
          <w:trHeight w:hRule="exact" w:val="361"/>
        </w:trPr>
        <w:tc>
          <w:tcPr>
            <w:tcW w:w="2551" w:type="dxa"/>
            <w:tcBorders>
              <w:top w:val="single" w:sz="4" w:space="0" w:color="auto"/>
              <w:left w:val="single" w:sz="4" w:space="0" w:color="auto"/>
              <w:bottom w:val="nil"/>
              <w:right w:val="single" w:sz="4" w:space="0" w:color="auto"/>
            </w:tcBorders>
          </w:tcPr>
          <w:p w14:paraId="45BF2363" w14:textId="3F41501D" w:rsidR="006E2692" w:rsidRPr="00A43FE5" w:rsidRDefault="006E2692" w:rsidP="006E2692">
            <w:pPr>
              <w:rPr>
                <w:b/>
                <w:sz w:val="20"/>
              </w:rPr>
            </w:pPr>
            <w:r w:rsidRPr="00A43FE5">
              <w:rPr>
                <w:b/>
                <w:sz w:val="20"/>
              </w:rPr>
              <w:t>GVA</w:t>
            </w:r>
          </w:p>
        </w:tc>
        <w:tc>
          <w:tcPr>
            <w:tcW w:w="1417" w:type="dxa"/>
            <w:tcBorders>
              <w:top w:val="single" w:sz="4" w:space="0" w:color="auto"/>
              <w:left w:val="single" w:sz="4" w:space="0" w:color="auto"/>
              <w:bottom w:val="nil"/>
              <w:right w:val="single" w:sz="4" w:space="0" w:color="auto"/>
            </w:tcBorders>
          </w:tcPr>
          <w:p w14:paraId="50BD6754" w14:textId="10072F96" w:rsidR="006E2692" w:rsidRPr="00A43FE5" w:rsidRDefault="006E2692" w:rsidP="006E2692">
            <w:pPr>
              <w:jc w:val="center"/>
              <w:rPr>
                <w:sz w:val="20"/>
              </w:rPr>
            </w:pPr>
            <w:r>
              <w:rPr>
                <w:sz w:val="20"/>
              </w:rPr>
              <w:t>1.79</w:t>
            </w:r>
          </w:p>
        </w:tc>
        <w:tc>
          <w:tcPr>
            <w:tcW w:w="1417" w:type="dxa"/>
            <w:tcBorders>
              <w:top w:val="single" w:sz="4" w:space="0" w:color="auto"/>
              <w:left w:val="single" w:sz="4" w:space="0" w:color="auto"/>
              <w:bottom w:val="nil"/>
              <w:right w:val="single" w:sz="4" w:space="0" w:color="auto"/>
            </w:tcBorders>
          </w:tcPr>
          <w:p w14:paraId="0D31DD9B" w14:textId="231E05DB" w:rsidR="006E2692" w:rsidRPr="00A43FE5" w:rsidRDefault="006E2692" w:rsidP="006E2692">
            <w:pPr>
              <w:jc w:val="center"/>
              <w:rPr>
                <w:sz w:val="20"/>
              </w:rPr>
            </w:pPr>
            <w:r>
              <w:rPr>
                <w:sz w:val="20"/>
              </w:rPr>
              <w:t>2.30</w:t>
            </w:r>
          </w:p>
        </w:tc>
      </w:tr>
      <w:tr w:rsidR="006E2692" w14:paraId="6070B384" w14:textId="77777777" w:rsidTr="004367EA">
        <w:trPr>
          <w:trHeight w:hRule="exact" w:val="361"/>
        </w:trPr>
        <w:tc>
          <w:tcPr>
            <w:tcW w:w="2551" w:type="dxa"/>
            <w:tcBorders>
              <w:top w:val="nil"/>
              <w:left w:val="single" w:sz="4" w:space="0" w:color="auto"/>
              <w:bottom w:val="nil"/>
              <w:right w:val="single" w:sz="4" w:space="0" w:color="auto"/>
            </w:tcBorders>
          </w:tcPr>
          <w:p w14:paraId="5D115F0B" w14:textId="35B4D0A1" w:rsidR="006E2692" w:rsidRPr="00A43FE5" w:rsidRDefault="006E2692" w:rsidP="006E2692">
            <w:pPr>
              <w:rPr>
                <w:b/>
                <w:sz w:val="20"/>
              </w:rPr>
            </w:pPr>
            <w:r w:rsidRPr="00A43FE5">
              <w:rPr>
                <w:b/>
                <w:sz w:val="20"/>
              </w:rPr>
              <w:t>Output</w:t>
            </w:r>
          </w:p>
        </w:tc>
        <w:tc>
          <w:tcPr>
            <w:tcW w:w="1417" w:type="dxa"/>
            <w:tcBorders>
              <w:top w:val="nil"/>
              <w:left w:val="single" w:sz="4" w:space="0" w:color="auto"/>
              <w:bottom w:val="nil"/>
              <w:right w:val="single" w:sz="4" w:space="0" w:color="auto"/>
            </w:tcBorders>
          </w:tcPr>
          <w:p w14:paraId="7E780275" w14:textId="4BFAD7E5" w:rsidR="006E2692" w:rsidRPr="00A43FE5" w:rsidRDefault="006E2692" w:rsidP="006E2692">
            <w:pPr>
              <w:jc w:val="center"/>
              <w:rPr>
                <w:sz w:val="20"/>
              </w:rPr>
            </w:pPr>
            <w:r>
              <w:rPr>
                <w:sz w:val="20"/>
              </w:rPr>
              <w:t>1.90</w:t>
            </w:r>
          </w:p>
        </w:tc>
        <w:tc>
          <w:tcPr>
            <w:tcW w:w="1417" w:type="dxa"/>
            <w:tcBorders>
              <w:top w:val="nil"/>
              <w:left w:val="single" w:sz="4" w:space="0" w:color="auto"/>
              <w:bottom w:val="nil"/>
              <w:right w:val="single" w:sz="4" w:space="0" w:color="auto"/>
            </w:tcBorders>
          </w:tcPr>
          <w:p w14:paraId="5D033E0F" w14:textId="3F6859BF" w:rsidR="006E2692" w:rsidRPr="00A43FE5" w:rsidRDefault="006E2692" w:rsidP="006E2692">
            <w:pPr>
              <w:jc w:val="center"/>
              <w:rPr>
                <w:sz w:val="20"/>
              </w:rPr>
            </w:pPr>
            <w:r>
              <w:rPr>
                <w:sz w:val="20"/>
              </w:rPr>
              <w:t>2.35</w:t>
            </w:r>
          </w:p>
        </w:tc>
      </w:tr>
      <w:tr w:rsidR="006E2692" w14:paraId="284045BE" w14:textId="77777777" w:rsidTr="004367EA">
        <w:trPr>
          <w:trHeight w:hRule="exact" w:val="361"/>
        </w:trPr>
        <w:tc>
          <w:tcPr>
            <w:tcW w:w="2551" w:type="dxa"/>
            <w:tcBorders>
              <w:top w:val="nil"/>
              <w:left w:val="single" w:sz="4" w:space="0" w:color="auto"/>
              <w:bottom w:val="nil"/>
              <w:right w:val="single" w:sz="4" w:space="0" w:color="auto"/>
            </w:tcBorders>
          </w:tcPr>
          <w:p w14:paraId="5EA3C8A3" w14:textId="5CDBC06D" w:rsidR="006E2692" w:rsidRPr="00A43FE5" w:rsidRDefault="006E2692" w:rsidP="006E2692">
            <w:pPr>
              <w:rPr>
                <w:b/>
                <w:sz w:val="20"/>
              </w:rPr>
            </w:pPr>
            <w:r w:rsidRPr="00A43FE5">
              <w:rPr>
                <w:b/>
                <w:sz w:val="20"/>
              </w:rPr>
              <w:t>Income</w:t>
            </w:r>
          </w:p>
        </w:tc>
        <w:tc>
          <w:tcPr>
            <w:tcW w:w="1417" w:type="dxa"/>
            <w:tcBorders>
              <w:top w:val="nil"/>
              <w:left w:val="single" w:sz="4" w:space="0" w:color="auto"/>
              <w:bottom w:val="nil"/>
              <w:right w:val="single" w:sz="4" w:space="0" w:color="auto"/>
            </w:tcBorders>
          </w:tcPr>
          <w:p w14:paraId="4C54EE74" w14:textId="338A78DB" w:rsidR="006E2692" w:rsidRPr="00A43FE5" w:rsidRDefault="006E2692" w:rsidP="006E2692">
            <w:pPr>
              <w:jc w:val="center"/>
              <w:rPr>
                <w:sz w:val="20"/>
              </w:rPr>
            </w:pPr>
            <w:r>
              <w:rPr>
                <w:sz w:val="20"/>
              </w:rPr>
              <w:t>1.74</w:t>
            </w:r>
          </w:p>
        </w:tc>
        <w:tc>
          <w:tcPr>
            <w:tcW w:w="1417" w:type="dxa"/>
            <w:tcBorders>
              <w:top w:val="nil"/>
              <w:left w:val="single" w:sz="4" w:space="0" w:color="auto"/>
              <w:bottom w:val="nil"/>
              <w:right w:val="single" w:sz="4" w:space="0" w:color="auto"/>
            </w:tcBorders>
          </w:tcPr>
          <w:p w14:paraId="714CBECA" w14:textId="78CD9B1C" w:rsidR="006E2692" w:rsidRPr="00A43FE5" w:rsidRDefault="006E2692" w:rsidP="006E2692">
            <w:pPr>
              <w:jc w:val="center"/>
              <w:rPr>
                <w:sz w:val="20"/>
              </w:rPr>
            </w:pPr>
            <w:r>
              <w:rPr>
                <w:sz w:val="20"/>
              </w:rPr>
              <w:t>2.24</w:t>
            </w:r>
          </w:p>
        </w:tc>
      </w:tr>
      <w:tr w:rsidR="006E2692" w14:paraId="27460F95" w14:textId="77777777" w:rsidTr="004367EA">
        <w:trPr>
          <w:trHeight w:hRule="exact" w:val="361"/>
        </w:trPr>
        <w:tc>
          <w:tcPr>
            <w:tcW w:w="2551" w:type="dxa"/>
            <w:tcBorders>
              <w:top w:val="nil"/>
              <w:left w:val="single" w:sz="4" w:space="0" w:color="auto"/>
              <w:bottom w:val="single" w:sz="4" w:space="0" w:color="auto"/>
              <w:right w:val="single" w:sz="4" w:space="0" w:color="auto"/>
            </w:tcBorders>
          </w:tcPr>
          <w:p w14:paraId="44C05554" w14:textId="43FAFBC8" w:rsidR="006E2692" w:rsidRPr="00A43FE5" w:rsidRDefault="006E2692" w:rsidP="006E2692">
            <w:pPr>
              <w:rPr>
                <w:b/>
                <w:sz w:val="20"/>
              </w:rPr>
            </w:pPr>
            <w:r w:rsidRPr="00A43FE5">
              <w:rPr>
                <w:b/>
                <w:sz w:val="20"/>
              </w:rPr>
              <w:t>Employment</w:t>
            </w:r>
          </w:p>
        </w:tc>
        <w:tc>
          <w:tcPr>
            <w:tcW w:w="1417" w:type="dxa"/>
            <w:tcBorders>
              <w:top w:val="nil"/>
              <w:left w:val="single" w:sz="4" w:space="0" w:color="auto"/>
              <w:bottom w:val="single" w:sz="4" w:space="0" w:color="auto"/>
              <w:right w:val="single" w:sz="4" w:space="0" w:color="auto"/>
            </w:tcBorders>
          </w:tcPr>
          <w:p w14:paraId="2196400C" w14:textId="464F2144" w:rsidR="006E2692" w:rsidRPr="00A43FE5" w:rsidRDefault="006E2692" w:rsidP="006E2692">
            <w:pPr>
              <w:jc w:val="center"/>
              <w:rPr>
                <w:sz w:val="20"/>
              </w:rPr>
            </w:pPr>
            <w:r>
              <w:rPr>
                <w:sz w:val="20"/>
              </w:rPr>
              <w:t>1.70</w:t>
            </w:r>
          </w:p>
        </w:tc>
        <w:tc>
          <w:tcPr>
            <w:tcW w:w="1417" w:type="dxa"/>
            <w:tcBorders>
              <w:top w:val="nil"/>
              <w:left w:val="single" w:sz="4" w:space="0" w:color="auto"/>
              <w:bottom w:val="single" w:sz="4" w:space="0" w:color="auto"/>
              <w:right w:val="single" w:sz="4" w:space="0" w:color="auto"/>
            </w:tcBorders>
          </w:tcPr>
          <w:p w14:paraId="1C23DF9B" w14:textId="1E62DB2F" w:rsidR="006E2692" w:rsidRPr="00A43FE5" w:rsidRDefault="006E2692" w:rsidP="006E2692">
            <w:pPr>
              <w:jc w:val="center"/>
              <w:rPr>
                <w:sz w:val="20"/>
              </w:rPr>
            </w:pPr>
            <w:r>
              <w:rPr>
                <w:sz w:val="20"/>
              </w:rPr>
              <w:t>2.10</w:t>
            </w:r>
          </w:p>
        </w:tc>
      </w:tr>
    </w:tbl>
    <w:p w14:paraId="45D08B8A" w14:textId="77777777" w:rsidR="006E2692" w:rsidRDefault="006E2692" w:rsidP="006E2692"/>
    <w:p w14:paraId="6C8600C0" w14:textId="77777777" w:rsidR="006E2692" w:rsidRDefault="006E2692" w:rsidP="006E2692"/>
    <w:p w14:paraId="6BD7BADC" w14:textId="77777777" w:rsidR="006E2692" w:rsidRDefault="006E2692" w:rsidP="006E2692"/>
    <w:p w14:paraId="4E288687" w14:textId="77777777" w:rsidR="006E2692" w:rsidRDefault="006E2692" w:rsidP="006E2692"/>
    <w:p w14:paraId="03BDC595" w14:textId="77777777" w:rsidR="006E2692" w:rsidRDefault="006E2692" w:rsidP="006E2692"/>
    <w:p w14:paraId="2251A51F" w14:textId="77777777" w:rsidR="006E2692" w:rsidRDefault="006E2692" w:rsidP="006E2692">
      <w:pPr>
        <w:spacing w:after="0"/>
        <w:rPr>
          <w:rFonts w:cs="Calibri"/>
          <w:color w:val="404040" w:themeColor="text1" w:themeTint="BF"/>
        </w:rPr>
      </w:pPr>
    </w:p>
    <w:p w14:paraId="555CAE76" w14:textId="77777777" w:rsidR="006E2692" w:rsidRDefault="006E2692">
      <w:pPr>
        <w:spacing w:after="0"/>
        <w:rPr>
          <w:rFonts w:ascii="HelveticaNeueLT Std" w:hAnsi="HelveticaNeueLT Std"/>
          <w:color w:val="A5A7A6"/>
          <w:sz w:val="20"/>
          <w:szCs w:val="16"/>
        </w:rPr>
      </w:pPr>
      <w:r>
        <w:br w:type="page"/>
      </w:r>
    </w:p>
    <w:p w14:paraId="31384E62" w14:textId="24290976" w:rsidR="006E2692" w:rsidRDefault="006E2692" w:rsidP="006E2692">
      <w:pPr>
        <w:pStyle w:val="Caption"/>
        <w:keepNext/>
        <w:keepLines/>
      </w:pPr>
      <w:r>
        <w:lastRenderedPageBreak/>
        <w:t xml:space="preserve">Table </w:t>
      </w:r>
      <w:r>
        <w:fldChar w:fldCharType="begin"/>
      </w:r>
      <w:r>
        <w:instrText xml:space="preserve"> SEQ Table \* ARABIC </w:instrText>
      </w:r>
      <w:r>
        <w:fldChar w:fldCharType="separate"/>
      </w:r>
      <w:r>
        <w:rPr>
          <w:noProof/>
        </w:rPr>
        <w:t>10</w:t>
      </w:r>
      <w:r>
        <w:rPr>
          <w:noProof/>
        </w:rPr>
        <w:fldChar w:fldCharType="end"/>
      </w:r>
      <w:r>
        <w:t>: M</w:t>
      </w:r>
      <w:r w:rsidRPr="00D61550">
        <w:t>ultipliers</w:t>
      </w:r>
      <w:r>
        <w:t xml:space="preserve"> for England and the English regions, 2015 basis</w:t>
      </w:r>
    </w:p>
    <w:p w14:paraId="03916132" w14:textId="77777777" w:rsidR="006E2692" w:rsidRDefault="006E2692" w:rsidP="006E2692">
      <w:pPr>
        <w:pStyle w:val="Caption"/>
        <w:jc w:val="center"/>
        <w:rPr>
          <w:b/>
          <w:bCs/>
          <w:color w:val="008C9B" w:themeColor="text2"/>
        </w:rPr>
      </w:pPr>
      <w:r w:rsidRPr="00142F7F">
        <w:rPr>
          <w:b/>
          <w:bCs/>
          <w:noProof/>
          <w:color w:val="008C9B" w:themeColor="text2"/>
        </w:rPr>
        <w:drawing>
          <wp:inline distT="0" distB="0" distL="0" distR="0" wp14:anchorId="7260B14A" wp14:editId="027E594D">
            <wp:extent cx="3960000" cy="3931922"/>
            <wp:effectExtent l="0" t="0" r="2540" b="0"/>
            <wp:docPr id="349292925" name="Picture 349292925" descr="A screenshot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9292925" name="Picture 349292925" descr="A screenshot of a graph&#10;&#10;Description automatically generated"/>
                    <pic:cNvPicPr/>
                  </pic:nvPicPr>
                  <pic:blipFill>
                    <a:blip r:embed="rId24"/>
                    <a:stretch>
                      <a:fillRect/>
                    </a:stretch>
                  </pic:blipFill>
                  <pic:spPr>
                    <a:xfrm>
                      <a:off x="0" y="0"/>
                      <a:ext cx="3960000" cy="3931922"/>
                    </a:xfrm>
                    <a:prstGeom prst="rect">
                      <a:avLst/>
                    </a:prstGeom>
                  </pic:spPr>
                </pic:pic>
              </a:graphicData>
            </a:graphic>
          </wp:inline>
        </w:drawing>
      </w:r>
    </w:p>
    <w:p w14:paraId="7387A07D" w14:textId="7B4A7468" w:rsidR="006E2692" w:rsidRDefault="006E2692" w:rsidP="006E2692">
      <w:pPr>
        <w:keepNext/>
        <w:keepLines/>
        <w:jc w:val="center"/>
      </w:pPr>
      <w:r w:rsidRPr="00142F7F">
        <w:rPr>
          <w:b/>
          <w:bCs/>
          <w:noProof/>
          <w:color w:val="008C9B" w:themeColor="text2"/>
        </w:rPr>
        <w:drawing>
          <wp:inline distT="0" distB="0" distL="0" distR="0" wp14:anchorId="4434845D" wp14:editId="2DC6AFC4">
            <wp:extent cx="3960000" cy="3980136"/>
            <wp:effectExtent l="0" t="0" r="2540" b="1905"/>
            <wp:docPr id="1092024184" name="Picture 1092024184" descr="A screenshot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2024184" name="Picture 1092024184" descr="A screenshot of a graph&#10;&#10;Description automatically generated"/>
                    <pic:cNvPicPr/>
                  </pic:nvPicPr>
                  <pic:blipFill>
                    <a:blip r:embed="rId25"/>
                    <a:stretch>
                      <a:fillRect/>
                    </a:stretch>
                  </pic:blipFill>
                  <pic:spPr>
                    <a:xfrm>
                      <a:off x="0" y="0"/>
                      <a:ext cx="3960000" cy="3980136"/>
                    </a:xfrm>
                    <a:prstGeom prst="rect">
                      <a:avLst/>
                    </a:prstGeom>
                  </pic:spPr>
                </pic:pic>
              </a:graphicData>
            </a:graphic>
          </wp:inline>
        </w:drawing>
      </w:r>
      <w:r w:rsidRPr="00142F7F">
        <w:rPr>
          <w:b/>
          <w:bCs/>
          <w:color w:val="008C9B" w:themeColor="text2"/>
        </w:rPr>
        <w:t xml:space="preserve">  </w:t>
      </w:r>
    </w:p>
    <w:p w14:paraId="207AB5A9" w14:textId="152E47A6" w:rsidR="005C2468" w:rsidRDefault="005C2468" w:rsidP="005C2468">
      <w:pPr>
        <w:pStyle w:val="Heading1"/>
      </w:pPr>
      <w:r w:rsidRPr="00817F61">
        <w:rPr>
          <w:b/>
          <w:bCs/>
          <w:color w:val="008C9B" w:themeColor="text2"/>
        </w:rPr>
        <w:lastRenderedPageBreak/>
        <w:t>Appendix: PREVIOUS multiplier results (201</w:t>
      </w:r>
      <w:r>
        <w:rPr>
          <w:b/>
          <w:bCs/>
          <w:color w:val="008C9B" w:themeColor="text2"/>
        </w:rPr>
        <w:t>3</w:t>
      </w:r>
      <w:r>
        <w:t xml:space="preserve"> </w:t>
      </w:r>
      <w:r w:rsidRPr="00817F61">
        <w:rPr>
          <w:b/>
          <w:bCs/>
          <w:color w:val="008C9B" w:themeColor="text2"/>
        </w:rPr>
        <w:t>basis)</w:t>
      </w:r>
      <w:bookmarkEnd w:id="40"/>
    </w:p>
    <w:p w14:paraId="203CFC1F" w14:textId="77777777" w:rsidR="005C2468" w:rsidRDefault="005C2468">
      <w:pPr>
        <w:spacing w:after="0"/>
        <w:rPr>
          <w:rFonts w:cs="Calibri"/>
          <w:color w:val="404040" w:themeColor="text1" w:themeTint="BF"/>
        </w:rPr>
      </w:pPr>
    </w:p>
    <w:p w14:paraId="5EA0FC43" w14:textId="07688FF1" w:rsidR="005C2468" w:rsidRDefault="005C2468" w:rsidP="005C2468">
      <w:pPr>
        <w:pStyle w:val="Caption"/>
        <w:keepNext/>
      </w:pPr>
      <w:r>
        <w:t>Affordable homes investment Type I and II UK level multipliers, 2013 basis</w:t>
      </w:r>
    </w:p>
    <w:tbl>
      <w:tblPr>
        <w:tblStyle w:val="TableGrid"/>
        <w:tblW w:w="0" w:type="auto"/>
        <w:jc w:val="center"/>
        <w:tblLook w:val="04A0" w:firstRow="1" w:lastRow="0" w:firstColumn="1" w:lastColumn="0" w:noHBand="0" w:noVBand="1"/>
      </w:tblPr>
      <w:tblGrid>
        <w:gridCol w:w="2551"/>
        <w:gridCol w:w="1417"/>
        <w:gridCol w:w="1417"/>
      </w:tblGrid>
      <w:tr w:rsidR="005C2468" w14:paraId="362C6B7E" w14:textId="77777777" w:rsidTr="00830D25">
        <w:trPr>
          <w:trHeight w:hRule="exact" w:val="340"/>
          <w:jc w:val="center"/>
        </w:trPr>
        <w:tc>
          <w:tcPr>
            <w:tcW w:w="2551" w:type="dxa"/>
            <w:tcBorders>
              <w:top w:val="single" w:sz="4" w:space="0" w:color="auto"/>
              <w:left w:val="single" w:sz="4" w:space="0" w:color="auto"/>
              <w:bottom w:val="single" w:sz="4" w:space="0" w:color="auto"/>
              <w:right w:val="single" w:sz="4" w:space="0" w:color="auto"/>
            </w:tcBorders>
            <w:shd w:val="clear" w:color="auto" w:fill="008C9B" w:themeFill="text2"/>
          </w:tcPr>
          <w:p w14:paraId="00E570B1" w14:textId="21FB4EE1" w:rsidR="005C2468" w:rsidRPr="00A43FE5" w:rsidRDefault="005C2468" w:rsidP="00830D25">
            <w:pPr>
              <w:rPr>
                <w:b/>
                <w:color w:val="FFFFFF" w:themeColor="background1"/>
                <w:sz w:val="20"/>
              </w:rPr>
            </w:pPr>
            <w:r>
              <w:rPr>
                <w:rFonts w:cs="Calibri"/>
                <w:color w:val="404040" w:themeColor="text1" w:themeTint="BF"/>
              </w:rPr>
              <w:br w:type="page"/>
            </w:r>
            <w:r>
              <w:rPr>
                <w:b/>
                <w:color w:val="FFFFFF" w:themeColor="background1"/>
                <w:sz w:val="20"/>
              </w:rPr>
              <w:t>New affordable homes</w:t>
            </w:r>
          </w:p>
        </w:tc>
        <w:tc>
          <w:tcPr>
            <w:tcW w:w="1417" w:type="dxa"/>
            <w:tcBorders>
              <w:top w:val="single" w:sz="4" w:space="0" w:color="auto"/>
              <w:left w:val="single" w:sz="4" w:space="0" w:color="auto"/>
              <w:bottom w:val="single" w:sz="4" w:space="0" w:color="auto"/>
              <w:right w:val="single" w:sz="4" w:space="0" w:color="auto"/>
            </w:tcBorders>
            <w:shd w:val="clear" w:color="auto" w:fill="008C9B" w:themeFill="text2"/>
          </w:tcPr>
          <w:p w14:paraId="7D20D4A5" w14:textId="77777777" w:rsidR="005C2468" w:rsidRDefault="005C2468" w:rsidP="00830D25">
            <w:pPr>
              <w:jc w:val="center"/>
              <w:rPr>
                <w:b/>
                <w:color w:val="FFFFFF" w:themeColor="background1"/>
                <w:sz w:val="20"/>
              </w:rPr>
            </w:pPr>
            <w:r>
              <w:rPr>
                <w:b/>
                <w:color w:val="FFFFFF" w:themeColor="background1"/>
                <w:sz w:val="20"/>
              </w:rPr>
              <w:t>Type I</w:t>
            </w:r>
          </w:p>
        </w:tc>
        <w:tc>
          <w:tcPr>
            <w:tcW w:w="1417" w:type="dxa"/>
            <w:tcBorders>
              <w:top w:val="single" w:sz="4" w:space="0" w:color="auto"/>
              <w:left w:val="single" w:sz="4" w:space="0" w:color="auto"/>
              <w:bottom w:val="single" w:sz="4" w:space="0" w:color="auto"/>
              <w:right w:val="single" w:sz="4" w:space="0" w:color="auto"/>
            </w:tcBorders>
            <w:shd w:val="clear" w:color="auto" w:fill="008C9B" w:themeFill="text2"/>
          </w:tcPr>
          <w:p w14:paraId="6F8AAD6F" w14:textId="77777777" w:rsidR="005C2468" w:rsidRPr="00A43FE5" w:rsidRDefault="005C2468" w:rsidP="00830D25">
            <w:pPr>
              <w:jc w:val="center"/>
              <w:rPr>
                <w:b/>
                <w:color w:val="FFFFFF" w:themeColor="background1"/>
                <w:sz w:val="20"/>
              </w:rPr>
            </w:pPr>
            <w:r>
              <w:rPr>
                <w:b/>
                <w:color w:val="FFFFFF" w:themeColor="background1"/>
                <w:sz w:val="20"/>
              </w:rPr>
              <w:t>Type II</w:t>
            </w:r>
          </w:p>
        </w:tc>
      </w:tr>
      <w:tr w:rsidR="005C2468" w14:paraId="1590C027" w14:textId="77777777" w:rsidTr="00830D25">
        <w:trPr>
          <w:trHeight w:hRule="exact" w:val="284"/>
          <w:jc w:val="center"/>
        </w:trPr>
        <w:tc>
          <w:tcPr>
            <w:tcW w:w="2551" w:type="dxa"/>
            <w:tcBorders>
              <w:top w:val="single" w:sz="4" w:space="0" w:color="auto"/>
              <w:left w:val="single" w:sz="4" w:space="0" w:color="auto"/>
              <w:bottom w:val="nil"/>
              <w:right w:val="single" w:sz="4" w:space="0" w:color="auto"/>
            </w:tcBorders>
          </w:tcPr>
          <w:p w14:paraId="61249777" w14:textId="77777777" w:rsidR="005C2468" w:rsidRPr="00A43FE5" w:rsidRDefault="005C2468" w:rsidP="00830D25">
            <w:pPr>
              <w:rPr>
                <w:b/>
                <w:sz w:val="20"/>
              </w:rPr>
            </w:pPr>
            <w:r w:rsidRPr="00A43FE5">
              <w:rPr>
                <w:b/>
                <w:sz w:val="20"/>
              </w:rPr>
              <w:t>GVA</w:t>
            </w:r>
          </w:p>
        </w:tc>
        <w:tc>
          <w:tcPr>
            <w:tcW w:w="1417" w:type="dxa"/>
            <w:tcBorders>
              <w:top w:val="single" w:sz="4" w:space="0" w:color="auto"/>
              <w:left w:val="single" w:sz="4" w:space="0" w:color="auto"/>
              <w:bottom w:val="nil"/>
              <w:right w:val="single" w:sz="4" w:space="0" w:color="auto"/>
            </w:tcBorders>
          </w:tcPr>
          <w:p w14:paraId="53D39023" w14:textId="77777777" w:rsidR="005C2468" w:rsidRPr="00A43FE5" w:rsidRDefault="005C2468" w:rsidP="00830D25">
            <w:pPr>
              <w:jc w:val="center"/>
              <w:rPr>
                <w:sz w:val="20"/>
              </w:rPr>
            </w:pPr>
            <w:r>
              <w:rPr>
                <w:sz w:val="20"/>
              </w:rPr>
              <w:t>1.82</w:t>
            </w:r>
          </w:p>
        </w:tc>
        <w:tc>
          <w:tcPr>
            <w:tcW w:w="1417" w:type="dxa"/>
            <w:tcBorders>
              <w:top w:val="single" w:sz="4" w:space="0" w:color="auto"/>
              <w:left w:val="single" w:sz="4" w:space="0" w:color="auto"/>
              <w:bottom w:val="nil"/>
              <w:right w:val="single" w:sz="4" w:space="0" w:color="auto"/>
            </w:tcBorders>
          </w:tcPr>
          <w:p w14:paraId="764D7BBC" w14:textId="77777777" w:rsidR="005C2468" w:rsidRPr="00A43FE5" w:rsidRDefault="005C2468" w:rsidP="00830D25">
            <w:pPr>
              <w:jc w:val="center"/>
              <w:rPr>
                <w:sz w:val="20"/>
              </w:rPr>
            </w:pPr>
            <w:r>
              <w:rPr>
                <w:sz w:val="20"/>
              </w:rPr>
              <w:t>2.36</w:t>
            </w:r>
          </w:p>
        </w:tc>
      </w:tr>
      <w:tr w:rsidR="005C2468" w14:paraId="473350A9" w14:textId="77777777" w:rsidTr="00830D25">
        <w:trPr>
          <w:trHeight w:hRule="exact" w:val="284"/>
          <w:jc w:val="center"/>
        </w:trPr>
        <w:tc>
          <w:tcPr>
            <w:tcW w:w="2551" w:type="dxa"/>
            <w:tcBorders>
              <w:top w:val="nil"/>
              <w:left w:val="single" w:sz="4" w:space="0" w:color="auto"/>
              <w:bottom w:val="nil"/>
              <w:right w:val="single" w:sz="4" w:space="0" w:color="auto"/>
            </w:tcBorders>
          </w:tcPr>
          <w:p w14:paraId="6D285E86" w14:textId="77777777" w:rsidR="005C2468" w:rsidRPr="00A43FE5" w:rsidRDefault="005C2468" w:rsidP="00830D25">
            <w:pPr>
              <w:rPr>
                <w:b/>
                <w:sz w:val="20"/>
              </w:rPr>
            </w:pPr>
            <w:r w:rsidRPr="00A43FE5">
              <w:rPr>
                <w:b/>
                <w:sz w:val="20"/>
              </w:rPr>
              <w:t>Output</w:t>
            </w:r>
          </w:p>
        </w:tc>
        <w:tc>
          <w:tcPr>
            <w:tcW w:w="1417" w:type="dxa"/>
            <w:tcBorders>
              <w:top w:val="nil"/>
              <w:left w:val="single" w:sz="4" w:space="0" w:color="auto"/>
              <w:bottom w:val="nil"/>
              <w:right w:val="single" w:sz="4" w:space="0" w:color="auto"/>
            </w:tcBorders>
          </w:tcPr>
          <w:p w14:paraId="40BF2A06" w14:textId="77777777" w:rsidR="005C2468" w:rsidRPr="00A43FE5" w:rsidRDefault="005C2468" w:rsidP="00830D25">
            <w:pPr>
              <w:jc w:val="center"/>
              <w:rPr>
                <w:sz w:val="20"/>
              </w:rPr>
            </w:pPr>
            <w:r>
              <w:rPr>
                <w:sz w:val="20"/>
              </w:rPr>
              <w:t>1.78</w:t>
            </w:r>
          </w:p>
        </w:tc>
        <w:tc>
          <w:tcPr>
            <w:tcW w:w="1417" w:type="dxa"/>
            <w:tcBorders>
              <w:top w:val="nil"/>
              <w:left w:val="single" w:sz="4" w:space="0" w:color="auto"/>
              <w:bottom w:val="nil"/>
              <w:right w:val="single" w:sz="4" w:space="0" w:color="auto"/>
            </w:tcBorders>
          </w:tcPr>
          <w:p w14:paraId="00BBFF07" w14:textId="77777777" w:rsidR="005C2468" w:rsidRPr="00A43FE5" w:rsidRDefault="005C2468" w:rsidP="00830D25">
            <w:pPr>
              <w:jc w:val="center"/>
              <w:rPr>
                <w:sz w:val="20"/>
              </w:rPr>
            </w:pPr>
            <w:r>
              <w:rPr>
                <w:sz w:val="20"/>
              </w:rPr>
              <w:t>2.23</w:t>
            </w:r>
          </w:p>
        </w:tc>
      </w:tr>
      <w:tr w:rsidR="005C2468" w14:paraId="596654A5" w14:textId="77777777" w:rsidTr="00830D25">
        <w:trPr>
          <w:trHeight w:hRule="exact" w:val="284"/>
          <w:jc w:val="center"/>
        </w:trPr>
        <w:tc>
          <w:tcPr>
            <w:tcW w:w="2551" w:type="dxa"/>
            <w:tcBorders>
              <w:top w:val="nil"/>
              <w:left w:val="single" w:sz="4" w:space="0" w:color="auto"/>
              <w:bottom w:val="nil"/>
              <w:right w:val="single" w:sz="4" w:space="0" w:color="auto"/>
            </w:tcBorders>
          </w:tcPr>
          <w:p w14:paraId="16AA482D" w14:textId="77777777" w:rsidR="005C2468" w:rsidRPr="00A43FE5" w:rsidRDefault="005C2468" w:rsidP="00830D25">
            <w:pPr>
              <w:rPr>
                <w:b/>
                <w:sz w:val="20"/>
              </w:rPr>
            </w:pPr>
            <w:r w:rsidRPr="00A43FE5">
              <w:rPr>
                <w:b/>
                <w:sz w:val="20"/>
              </w:rPr>
              <w:t>Income</w:t>
            </w:r>
          </w:p>
        </w:tc>
        <w:tc>
          <w:tcPr>
            <w:tcW w:w="1417" w:type="dxa"/>
            <w:tcBorders>
              <w:top w:val="nil"/>
              <w:left w:val="single" w:sz="4" w:space="0" w:color="auto"/>
              <w:bottom w:val="nil"/>
              <w:right w:val="single" w:sz="4" w:space="0" w:color="auto"/>
            </w:tcBorders>
          </w:tcPr>
          <w:p w14:paraId="1D9FB10E" w14:textId="77777777" w:rsidR="005C2468" w:rsidRPr="00A43FE5" w:rsidRDefault="005C2468" w:rsidP="00830D25">
            <w:pPr>
              <w:jc w:val="center"/>
              <w:rPr>
                <w:sz w:val="20"/>
              </w:rPr>
            </w:pPr>
            <w:r>
              <w:rPr>
                <w:sz w:val="20"/>
              </w:rPr>
              <w:t>1.87</w:t>
            </w:r>
          </w:p>
        </w:tc>
        <w:tc>
          <w:tcPr>
            <w:tcW w:w="1417" w:type="dxa"/>
            <w:tcBorders>
              <w:top w:val="nil"/>
              <w:left w:val="single" w:sz="4" w:space="0" w:color="auto"/>
              <w:bottom w:val="nil"/>
              <w:right w:val="single" w:sz="4" w:space="0" w:color="auto"/>
            </w:tcBorders>
          </w:tcPr>
          <w:p w14:paraId="12581D3C" w14:textId="77777777" w:rsidR="005C2468" w:rsidRPr="00A43FE5" w:rsidRDefault="005C2468" w:rsidP="00830D25">
            <w:pPr>
              <w:jc w:val="center"/>
              <w:rPr>
                <w:sz w:val="20"/>
              </w:rPr>
            </w:pPr>
            <w:r>
              <w:rPr>
                <w:sz w:val="20"/>
              </w:rPr>
              <w:t>2.31</w:t>
            </w:r>
          </w:p>
        </w:tc>
      </w:tr>
      <w:tr w:rsidR="005C2468" w14:paraId="57242DBB" w14:textId="77777777" w:rsidTr="00830D25">
        <w:trPr>
          <w:trHeight w:hRule="exact" w:val="284"/>
          <w:jc w:val="center"/>
        </w:trPr>
        <w:tc>
          <w:tcPr>
            <w:tcW w:w="2551" w:type="dxa"/>
            <w:tcBorders>
              <w:top w:val="nil"/>
              <w:left w:val="single" w:sz="4" w:space="0" w:color="auto"/>
              <w:bottom w:val="single" w:sz="4" w:space="0" w:color="auto"/>
              <w:right w:val="single" w:sz="4" w:space="0" w:color="auto"/>
            </w:tcBorders>
          </w:tcPr>
          <w:p w14:paraId="45CA3394" w14:textId="77777777" w:rsidR="005C2468" w:rsidRPr="00A43FE5" w:rsidRDefault="005C2468" w:rsidP="00830D25">
            <w:pPr>
              <w:rPr>
                <w:b/>
                <w:sz w:val="20"/>
              </w:rPr>
            </w:pPr>
            <w:r w:rsidRPr="00A43FE5">
              <w:rPr>
                <w:b/>
                <w:sz w:val="20"/>
              </w:rPr>
              <w:t>Employment</w:t>
            </w:r>
          </w:p>
        </w:tc>
        <w:tc>
          <w:tcPr>
            <w:tcW w:w="1417" w:type="dxa"/>
            <w:tcBorders>
              <w:top w:val="nil"/>
              <w:left w:val="single" w:sz="4" w:space="0" w:color="auto"/>
              <w:bottom w:val="single" w:sz="4" w:space="0" w:color="auto"/>
              <w:right w:val="single" w:sz="4" w:space="0" w:color="auto"/>
            </w:tcBorders>
          </w:tcPr>
          <w:p w14:paraId="79299558" w14:textId="77777777" w:rsidR="005C2468" w:rsidRPr="00A43FE5" w:rsidRDefault="005C2468" w:rsidP="00830D25">
            <w:pPr>
              <w:jc w:val="center"/>
              <w:rPr>
                <w:sz w:val="20"/>
              </w:rPr>
            </w:pPr>
            <w:r>
              <w:rPr>
                <w:sz w:val="20"/>
              </w:rPr>
              <w:t>1.85</w:t>
            </w:r>
          </w:p>
        </w:tc>
        <w:tc>
          <w:tcPr>
            <w:tcW w:w="1417" w:type="dxa"/>
            <w:tcBorders>
              <w:top w:val="nil"/>
              <w:left w:val="single" w:sz="4" w:space="0" w:color="auto"/>
              <w:bottom w:val="single" w:sz="4" w:space="0" w:color="auto"/>
              <w:right w:val="single" w:sz="4" w:space="0" w:color="auto"/>
            </w:tcBorders>
          </w:tcPr>
          <w:p w14:paraId="4B535657" w14:textId="77777777" w:rsidR="005C2468" w:rsidRPr="00A43FE5" w:rsidRDefault="005C2468" w:rsidP="00830D25">
            <w:pPr>
              <w:jc w:val="center"/>
              <w:rPr>
                <w:sz w:val="20"/>
              </w:rPr>
            </w:pPr>
            <w:r>
              <w:rPr>
                <w:sz w:val="20"/>
              </w:rPr>
              <w:t>2.36</w:t>
            </w:r>
          </w:p>
        </w:tc>
      </w:tr>
    </w:tbl>
    <w:p w14:paraId="2BC8A142" w14:textId="2F4D16DC" w:rsidR="005C2468" w:rsidRDefault="005C2468">
      <w:pPr>
        <w:spacing w:after="0"/>
        <w:rPr>
          <w:rFonts w:cs="Calibri"/>
          <w:color w:val="404040" w:themeColor="text1" w:themeTint="BF"/>
        </w:rPr>
      </w:pPr>
    </w:p>
    <w:p w14:paraId="1ACAB71B" w14:textId="6AA619E6" w:rsidR="005C2468" w:rsidRDefault="005C2468" w:rsidP="005C2468">
      <w:pPr>
        <w:pStyle w:val="Caption"/>
        <w:keepNext/>
      </w:pPr>
      <w:r>
        <w:t>Housing associations' day-to-day activities Type I and II UK level multipliers, 2013 basis</w:t>
      </w:r>
    </w:p>
    <w:tbl>
      <w:tblPr>
        <w:tblStyle w:val="TableGrid"/>
        <w:tblpPr w:leftFromText="180" w:rightFromText="180" w:vertAnchor="text" w:tblpXSpec="center" w:tblpY="1"/>
        <w:tblOverlap w:val="never"/>
        <w:tblW w:w="0" w:type="auto"/>
        <w:tblLook w:val="04A0" w:firstRow="1" w:lastRow="0" w:firstColumn="1" w:lastColumn="0" w:noHBand="0" w:noVBand="1"/>
      </w:tblPr>
      <w:tblGrid>
        <w:gridCol w:w="2551"/>
        <w:gridCol w:w="1417"/>
        <w:gridCol w:w="1417"/>
      </w:tblGrid>
      <w:tr w:rsidR="005C2468" w14:paraId="042F19CB" w14:textId="77777777" w:rsidTr="00830D25">
        <w:trPr>
          <w:trHeight w:hRule="exact" w:val="340"/>
        </w:trPr>
        <w:tc>
          <w:tcPr>
            <w:tcW w:w="2551" w:type="dxa"/>
            <w:tcBorders>
              <w:top w:val="single" w:sz="4" w:space="0" w:color="auto"/>
              <w:left w:val="single" w:sz="4" w:space="0" w:color="auto"/>
              <w:bottom w:val="single" w:sz="4" w:space="0" w:color="auto"/>
              <w:right w:val="single" w:sz="4" w:space="0" w:color="auto"/>
            </w:tcBorders>
            <w:shd w:val="clear" w:color="auto" w:fill="008C9B" w:themeFill="text2"/>
          </w:tcPr>
          <w:p w14:paraId="6DDF357D" w14:textId="77777777" w:rsidR="005C2468" w:rsidRPr="00A43FE5" w:rsidRDefault="005C2468" w:rsidP="00830D25">
            <w:pPr>
              <w:rPr>
                <w:b/>
                <w:color w:val="FFFFFF" w:themeColor="background1"/>
                <w:sz w:val="20"/>
              </w:rPr>
            </w:pPr>
            <w:r>
              <w:rPr>
                <w:b/>
                <w:color w:val="FFFFFF" w:themeColor="background1"/>
                <w:sz w:val="20"/>
              </w:rPr>
              <w:t>HA day-to-day activities</w:t>
            </w:r>
          </w:p>
        </w:tc>
        <w:tc>
          <w:tcPr>
            <w:tcW w:w="1417" w:type="dxa"/>
            <w:tcBorders>
              <w:top w:val="single" w:sz="4" w:space="0" w:color="auto"/>
              <w:left w:val="single" w:sz="4" w:space="0" w:color="auto"/>
              <w:bottom w:val="single" w:sz="4" w:space="0" w:color="auto"/>
              <w:right w:val="single" w:sz="4" w:space="0" w:color="auto"/>
            </w:tcBorders>
            <w:shd w:val="clear" w:color="auto" w:fill="008C9B" w:themeFill="text2"/>
          </w:tcPr>
          <w:p w14:paraId="2713DC78" w14:textId="77777777" w:rsidR="005C2468" w:rsidRDefault="005C2468" w:rsidP="00830D25">
            <w:pPr>
              <w:jc w:val="center"/>
              <w:rPr>
                <w:b/>
                <w:color w:val="FFFFFF" w:themeColor="background1"/>
                <w:sz w:val="20"/>
              </w:rPr>
            </w:pPr>
            <w:r>
              <w:rPr>
                <w:b/>
                <w:color w:val="FFFFFF" w:themeColor="background1"/>
                <w:sz w:val="20"/>
              </w:rPr>
              <w:t>Type I</w:t>
            </w:r>
          </w:p>
        </w:tc>
        <w:tc>
          <w:tcPr>
            <w:tcW w:w="1417" w:type="dxa"/>
            <w:tcBorders>
              <w:top w:val="single" w:sz="4" w:space="0" w:color="auto"/>
              <w:left w:val="single" w:sz="4" w:space="0" w:color="auto"/>
              <w:bottom w:val="single" w:sz="4" w:space="0" w:color="auto"/>
              <w:right w:val="single" w:sz="4" w:space="0" w:color="auto"/>
            </w:tcBorders>
            <w:shd w:val="clear" w:color="auto" w:fill="008C9B" w:themeFill="text2"/>
          </w:tcPr>
          <w:p w14:paraId="3FFDBC57" w14:textId="77777777" w:rsidR="005C2468" w:rsidRPr="00A43FE5" w:rsidRDefault="005C2468" w:rsidP="00830D25">
            <w:pPr>
              <w:jc w:val="center"/>
              <w:rPr>
                <w:b/>
                <w:color w:val="FFFFFF" w:themeColor="background1"/>
                <w:sz w:val="20"/>
              </w:rPr>
            </w:pPr>
            <w:r>
              <w:rPr>
                <w:b/>
                <w:color w:val="FFFFFF" w:themeColor="background1"/>
                <w:sz w:val="20"/>
              </w:rPr>
              <w:t>Type II</w:t>
            </w:r>
          </w:p>
        </w:tc>
      </w:tr>
      <w:tr w:rsidR="005C2468" w14:paraId="629DC720" w14:textId="77777777" w:rsidTr="00830D25">
        <w:trPr>
          <w:trHeight w:hRule="exact" w:val="361"/>
        </w:trPr>
        <w:tc>
          <w:tcPr>
            <w:tcW w:w="2551" w:type="dxa"/>
            <w:tcBorders>
              <w:top w:val="single" w:sz="4" w:space="0" w:color="auto"/>
              <w:left w:val="single" w:sz="4" w:space="0" w:color="auto"/>
              <w:bottom w:val="nil"/>
              <w:right w:val="single" w:sz="4" w:space="0" w:color="auto"/>
            </w:tcBorders>
          </w:tcPr>
          <w:p w14:paraId="1DFD3F77" w14:textId="77777777" w:rsidR="005C2468" w:rsidRPr="00A43FE5" w:rsidRDefault="005C2468" w:rsidP="005C2468">
            <w:pPr>
              <w:rPr>
                <w:b/>
                <w:sz w:val="20"/>
              </w:rPr>
            </w:pPr>
            <w:r w:rsidRPr="00A43FE5">
              <w:rPr>
                <w:b/>
                <w:sz w:val="20"/>
              </w:rPr>
              <w:t>GVA</w:t>
            </w:r>
          </w:p>
        </w:tc>
        <w:tc>
          <w:tcPr>
            <w:tcW w:w="1417" w:type="dxa"/>
            <w:tcBorders>
              <w:top w:val="single" w:sz="4" w:space="0" w:color="auto"/>
              <w:left w:val="single" w:sz="4" w:space="0" w:color="auto"/>
              <w:bottom w:val="nil"/>
              <w:right w:val="single" w:sz="4" w:space="0" w:color="auto"/>
            </w:tcBorders>
          </w:tcPr>
          <w:p w14:paraId="17786CFC" w14:textId="5B3D94DC" w:rsidR="005C2468" w:rsidRPr="00A43FE5" w:rsidRDefault="005C2468" w:rsidP="005C2468">
            <w:pPr>
              <w:jc w:val="center"/>
              <w:rPr>
                <w:sz w:val="20"/>
              </w:rPr>
            </w:pPr>
            <w:r>
              <w:rPr>
                <w:sz w:val="20"/>
              </w:rPr>
              <w:t>1.98</w:t>
            </w:r>
          </w:p>
        </w:tc>
        <w:tc>
          <w:tcPr>
            <w:tcW w:w="1417" w:type="dxa"/>
            <w:tcBorders>
              <w:top w:val="single" w:sz="4" w:space="0" w:color="auto"/>
              <w:left w:val="single" w:sz="4" w:space="0" w:color="auto"/>
              <w:bottom w:val="nil"/>
              <w:right w:val="single" w:sz="4" w:space="0" w:color="auto"/>
            </w:tcBorders>
          </w:tcPr>
          <w:p w14:paraId="01F9AE3B" w14:textId="51409FAB" w:rsidR="005C2468" w:rsidRPr="00A43FE5" w:rsidRDefault="005C2468" w:rsidP="005C2468">
            <w:pPr>
              <w:jc w:val="center"/>
              <w:rPr>
                <w:sz w:val="20"/>
              </w:rPr>
            </w:pPr>
            <w:r>
              <w:rPr>
                <w:sz w:val="20"/>
              </w:rPr>
              <w:t>2.55</w:t>
            </w:r>
          </w:p>
        </w:tc>
      </w:tr>
      <w:tr w:rsidR="005C2468" w14:paraId="69F35C21" w14:textId="77777777" w:rsidTr="00830D25">
        <w:trPr>
          <w:trHeight w:hRule="exact" w:val="361"/>
        </w:trPr>
        <w:tc>
          <w:tcPr>
            <w:tcW w:w="2551" w:type="dxa"/>
            <w:tcBorders>
              <w:top w:val="nil"/>
              <w:left w:val="single" w:sz="4" w:space="0" w:color="auto"/>
              <w:bottom w:val="nil"/>
              <w:right w:val="single" w:sz="4" w:space="0" w:color="auto"/>
            </w:tcBorders>
          </w:tcPr>
          <w:p w14:paraId="59ED1195" w14:textId="77777777" w:rsidR="005C2468" w:rsidRPr="00A43FE5" w:rsidRDefault="005C2468" w:rsidP="005C2468">
            <w:pPr>
              <w:rPr>
                <w:b/>
                <w:sz w:val="20"/>
              </w:rPr>
            </w:pPr>
            <w:r w:rsidRPr="00A43FE5">
              <w:rPr>
                <w:b/>
                <w:sz w:val="20"/>
              </w:rPr>
              <w:t>Output</w:t>
            </w:r>
          </w:p>
        </w:tc>
        <w:tc>
          <w:tcPr>
            <w:tcW w:w="1417" w:type="dxa"/>
            <w:tcBorders>
              <w:top w:val="nil"/>
              <w:left w:val="single" w:sz="4" w:space="0" w:color="auto"/>
              <w:bottom w:val="nil"/>
              <w:right w:val="single" w:sz="4" w:space="0" w:color="auto"/>
            </w:tcBorders>
          </w:tcPr>
          <w:p w14:paraId="76C874BE" w14:textId="538BB525" w:rsidR="005C2468" w:rsidRPr="00A43FE5" w:rsidRDefault="005C2468" w:rsidP="005C2468">
            <w:pPr>
              <w:jc w:val="center"/>
              <w:rPr>
                <w:sz w:val="20"/>
              </w:rPr>
            </w:pPr>
            <w:r>
              <w:rPr>
                <w:sz w:val="20"/>
              </w:rPr>
              <w:t>1.97</w:t>
            </w:r>
          </w:p>
        </w:tc>
        <w:tc>
          <w:tcPr>
            <w:tcW w:w="1417" w:type="dxa"/>
            <w:tcBorders>
              <w:top w:val="nil"/>
              <w:left w:val="single" w:sz="4" w:space="0" w:color="auto"/>
              <w:bottom w:val="nil"/>
              <w:right w:val="single" w:sz="4" w:space="0" w:color="auto"/>
            </w:tcBorders>
          </w:tcPr>
          <w:p w14:paraId="03338148" w14:textId="770A67D0" w:rsidR="005C2468" w:rsidRPr="00A43FE5" w:rsidRDefault="005C2468" w:rsidP="005C2468">
            <w:pPr>
              <w:jc w:val="center"/>
              <w:rPr>
                <w:sz w:val="20"/>
              </w:rPr>
            </w:pPr>
            <w:r>
              <w:rPr>
                <w:sz w:val="20"/>
              </w:rPr>
              <w:t>2.44</w:t>
            </w:r>
          </w:p>
        </w:tc>
      </w:tr>
      <w:tr w:rsidR="005C2468" w14:paraId="21BA4AC5" w14:textId="77777777" w:rsidTr="00830D25">
        <w:trPr>
          <w:trHeight w:hRule="exact" w:val="361"/>
        </w:trPr>
        <w:tc>
          <w:tcPr>
            <w:tcW w:w="2551" w:type="dxa"/>
            <w:tcBorders>
              <w:top w:val="nil"/>
              <w:left w:val="single" w:sz="4" w:space="0" w:color="auto"/>
              <w:bottom w:val="nil"/>
              <w:right w:val="single" w:sz="4" w:space="0" w:color="auto"/>
            </w:tcBorders>
          </w:tcPr>
          <w:p w14:paraId="382247F1" w14:textId="77777777" w:rsidR="005C2468" w:rsidRPr="00A43FE5" w:rsidRDefault="005C2468" w:rsidP="005C2468">
            <w:pPr>
              <w:rPr>
                <w:b/>
                <w:sz w:val="20"/>
              </w:rPr>
            </w:pPr>
            <w:r w:rsidRPr="00A43FE5">
              <w:rPr>
                <w:b/>
                <w:sz w:val="20"/>
              </w:rPr>
              <w:t>Income</w:t>
            </w:r>
          </w:p>
        </w:tc>
        <w:tc>
          <w:tcPr>
            <w:tcW w:w="1417" w:type="dxa"/>
            <w:tcBorders>
              <w:top w:val="nil"/>
              <w:left w:val="single" w:sz="4" w:space="0" w:color="auto"/>
              <w:bottom w:val="nil"/>
              <w:right w:val="single" w:sz="4" w:space="0" w:color="auto"/>
            </w:tcBorders>
          </w:tcPr>
          <w:p w14:paraId="162EACE3" w14:textId="0549A056" w:rsidR="005C2468" w:rsidRPr="00A43FE5" w:rsidRDefault="005C2468" w:rsidP="005C2468">
            <w:pPr>
              <w:jc w:val="center"/>
              <w:rPr>
                <w:sz w:val="20"/>
              </w:rPr>
            </w:pPr>
            <w:r>
              <w:rPr>
                <w:sz w:val="20"/>
              </w:rPr>
              <w:t>1.92</w:t>
            </w:r>
          </w:p>
        </w:tc>
        <w:tc>
          <w:tcPr>
            <w:tcW w:w="1417" w:type="dxa"/>
            <w:tcBorders>
              <w:top w:val="nil"/>
              <w:left w:val="single" w:sz="4" w:space="0" w:color="auto"/>
              <w:bottom w:val="nil"/>
              <w:right w:val="single" w:sz="4" w:space="0" w:color="auto"/>
            </w:tcBorders>
          </w:tcPr>
          <w:p w14:paraId="17AB4D1F" w14:textId="2478020F" w:rsidR="005C2468" w:rsidRPr="00A43FE5" w:rsidRDefault="005C2468" w:rsidP="005C2468">
            <w:pPr>
              <w:jc w:val="center"/>
              <w:rPr>
                <w:sz w:val="20"/>
              </w:rPr>
            </w:pPr>
            <w:r>
              <w:rPr>
                <w:sz w:val="20"/>
              </w:rPr>
              <w:t>2.47</w:t>
            </w:r>
          </w:p>
        </w:tc>
      </w:tr>
      <w:tr w:rsidR="005C2468" w14:paraId="0605EEB0" w14:textId="77777777" w:rsidTr="00830D25">
        <w:trPr>
          <w:trHeight w:hRule="exact" w:val="361"/>
        </w:trPr>
        <w:tc>
          <w:tcPr>
            <w:tcW w:w="2551" w:type="dxa"/>
            <w:tcBorders>
              <w:top w:val="nil"/>
              <w:left w:val="single" w:sz="4" w:space="0" w:color="auto"/>
              <w:bottom w:val="single" w:sz="4" w:space="0" w:color="auto"/>
              <w:right w:val="single" w:sz="4" w:space="0" w:color="auto"/>
            </w:tcBorders>
          </w:tcPr>
          <w:p w14:paraId="02D33D5D" w14:textId="77777777" w:rsidR="005C2468" w:rsidRPr="00A43FE5" w:rsidRDefault="005C2468" w:rsidP="005C2468">
            <w:pPr>
              <w:rPr>
                <w:b/>
                <w:sz w:val="20"/>
              </w:rPr>
            </w:pPr>
            <w:r w:rsidRPr="00A43FE5">
              <w:rPr>
                <w:b/>
                <w:sz w:val="20"/>
              </w:rPr>
              <w:t>Employment</w:t>
            </w:r>
          </w:p>
        </w:tc>
        <w:tc>
          <w:tcPr>
            <w:tcW w:w="1417" w:type="dxa"/>
            <w:tcBorders>
              <w:top w:val="nil"/>
              <w:left w:val="single" w:sz="4" w:space="0" w:color="auto"/>
              <w:bottom w:val="single" w:sz="4" w:space="0" w:color="auto"/>
              <w:right w:val="single" w:sz="4" w:space="0" w:color="auto"/>
            </w:tcBorders>
          </w:tcPr>
          <w:p w14:paraId="7CE5CB6F" w14:textId="61660FF5" w:rsidR="005C2468" w:rsidRPr="00A43FE5" w:rsidRDefault="005C2468" w:rsidP="005C2468">
            <w:pPr>
              <w:jc w:val="center"/>
              <w:rPr>
                <w:sz w:val="20"/>
              </w:rPr>
            </w:pPr>
            <w:r>
              <w:rPr>
                <w:sz w:val="20"/>
              </w:rPr>
              <w:t>1.76</w:t>
            </w:r>
          </w:p>
        </w:tc>
        <w:tc>
          <w:tcPr>
            <w:tcW w:w="1417" w:type="dxa"/>
            <w:tcBorders>
              <w:top w:val="nil"/>
              <w:left w:val="single" w:sz="4" w:space="0" w:color="auto"/>
              <w:bottom w:val="single" w:sz="4" w:space="0" w:color="auto"/>
              <w:right w:val="single" w:sz="4" w:space="0" w:color="auto"/>
            </w:tcBorders>
          </w:tcPr>
          <w:p w14:paraId="16BA5971" w14:textId="5D8C2711" w:rsidR="005C2468" w:rsidRPr="00A43FE5" w:rsidRDefault="005C2468" w:rsidP="005C2468">
            <w:pPr>
              <w:jc w:val="center"/>
              <w:rPr>
                <w:sz w:val="20"/>
              </w:rPr>
            </w:pPr>
            <w:r>
              <w:rPr>
                <w:sz w:val="20"/>
              </w:rPr>
              <w:t>2.22</w:t>
            </w:r>
          </w:p>
        </w:tc>
      </w:tr>
    </w:tbl>
    <w:p w14:paraId="2CA296FA" w14:textId="77777777" w:rsidR="005C2468" w:rsidRDefault="005C2468" w:rsidP="005C2468"/>
    <w:p w14:paraId="7486C1C5" w14:textId="77777777" w:rsidR="005C2468" w:rsidRDefault="005C2468" w:rsidP="005C2468"/>
    <w:p w14:paraId="70C4914F" w14:textId="77777777" w:rsidR="005C2468" w:rsidRDefault="005C2468" w:rsidP="005C2468"/>
    <w:p w14:paraId="40076F85" w14:textId="77777777" w:rsidR="005C2468" w:rsidRDefault="005C2468" w:rsidP="005C2468"/>
    <w:p w14:paraId="784E29D7" w14:textId="77777777" w:rsidR="005C2468" w:rsidRDefault="005C2468" w:rsidP="005C2468"/>
    <w:p w14:paraId="3B72CE90" w14:textId="77777777" w:rsidR="005C2468" w:rsidRDefault="005C2468">
      <w:pPr>
        <w:spacing w:after="0"/>
        <w:rPr>
          <w:rFonts w:cs="Calibri"/>
          <w:color w:val="404040" w:themeColor="text1" w:themeTint="BF"/>
        </w:rPr>
      </w:pPr>
    </w:p>
    <w:p w14:paraId="265E2DAA" w14:textId="1EE4F112" w:rsidR="00E45BF6" w:rsidRDefault="00E45BF6" w:rsidP="00E45BF6">
      <w:pPr>
        <w:pStyle w:val="Caption"/>
        <w:keepNext/>
        <w:keepLines/>
      </w:pPr>
      <w:r>
        <w:lastRenderedPageBreak/>
        <w:t xml:space="preserve">Table </w:t>
      </w:r>
      <w:r w:rsidR="00E6080E">
        <w:fldChar w:fldCharType="begin"/>
      </w:r>
      <w:r w:rsidR="00E6080E">
        <w:instrText xml:space="preserve"> SEQ Table \* ARABIC </w:instrText>
      </w:r>
      <w:r w:rsidR="00E6080E">
        <w:fldChar w:fldCharType="separate"/>
      </w:r>
      <w:r w:rsidR="00142F7F">
        <w:rPr>
          <w:noProof/>
        </w:rPr>
        <w:t>10</w:t>
      </w:r>
      <w:r w:rsidR="00E6080E">
        <w:rPr>
          <w:noProof/>
        </w:rPr>
        <w:fldChar w:fldCharType="end"/>
      </w:r>
      <w:r>
        <w:t>: M</w:t>
      </w:r>
      <w:r w:rsidRPr="00D61550">
        <w:t>ultipliers</w:t>
      </w:r>
      <w:r>
        <w:t xml:space="preserve"> for England and the English regions</w:t>
      </w:r>
      <w:r w:rsidR="00142F7F">
        <w:t>, 2013 basis</w:t>
      </w:r>
    </w:p>
    <w:p w14:paraId="060A9C91" w14:textId="77777777" w:rsidR="00E45BF6" w:rsidRDefault="00E45BF6" w:rsidP="00E45BF6">
      <w:pPr>
        <w:keepNext/>
        <w:keepLines/>
        <w:jc w:val="center"/>
      </w:pPr>
      <w:r w:rsidRPr="00965D9D">
        <w:rPr>
          <w:noProof/>
          <w:lang w:eastAsia="en-GB"/>
        </w:rPr>
        <w:drawing>
          <wp:inline distT="0" distB="0" distL="0" distR="0" wp14:anchorId="09ED8168" wp14:editId="778A1731">
            <wp:extent cx="3996538" cy="3895725"/>
            <wp:effectExtent l="0" t="0" r="444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4021989" cy="3920534"/>
                    </a:xfrm>
                    <a:prstGeom prst="rect">
                      <a:avLst/>
                    </a:prstGeom>
                  </pic:spPr>
                </pic:pic>
              </a:graphicData>
            </a:graphic>
          </wp:inline>
        </w:drawing>
      </w:r>
    </w:p>
    <w:p w14:paraId="602516EE" w14:textId="77777777" w:rsidR="00E45BF6" w:rsidRDefault="00E45BF6" w:rsidP="00E45BF6">
      <w:pPr>
        <w:keepNext/>
        <w:keepLines/>
        <w:jc w:val="center"/>
      </w:pPr>
      <w:r w:rsidRPr="00965D9D">
        <w:rPr>
          <w:noProof/>
          <w:lang w:eastAsia="en-GB"/>
        </w:rPr>
        <w:drawing>
          <wp:inline distT="0" distB="0" distL="0" distR="0" wp14:anchorId="07A8BDA6" wp14:editId="6F802CBE">
            <wp:extent cx="4048125" cy="3946011"/>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4073087" cy="3970344"/>
                    </a:xfrm>
                    <a:prstGeom prst="rect">
                      <a:avLst/>
                    </a:prstGeom>
                  </pic:spPr>
                </pic:pic>
              </a:graphicData>
            </a:graphic>
          </wp:inline>
        </w:drawing>
      </w:r>
    </w:p>
    <w:p w14:paraId="69A3878A" w14:textId="18BB290A" w:rsidR="00E45BF6" w:rsidRDefault="00E45BF6">
      <w:pPr>
        <w:spacing w:after="0"/>
        <w:rPr>
          <w:rFonts w:cs="Calibri"/>
        </w:rPr>
      </w:pPr>
      <w:r>
        <w:rPr>
          <w:rFonts w:cs="Calibri"/>
        </w:rPr>
        <w:br w:type="page"/>
      </w:r>
    </w:p>
    <w:p w14:paraId="50ED6041" w14:textId="56C1C54F" w:rsidR="00817F61" w:rsidRDefault="00817F61" w:rsidP="00817F61">
      <w:pPr>
        <w:pStyle w:val="Heading1"/>
      </w:pPr>
      <w:bookmarkStart w:id="41" w:name="_Toc33694508"/>
      <w:bookmarkStart w:id="42" w:name="_Toc66786723"/>
      <w:r w:rsidRPr="00817F61">
        <w:rPr>
          <w:b/>
          <w:bCs/>
          <w:color w:val="008C9B" w:themeColor="text2"/>
        </w:rPr>
        <w:lastRenderedPageBreak/>
        <w:t>Appendix: PREVIOUS multiplier results (2010</w:t>
      </w:r>
      <w:r>
        <w:t xml:space="preserve"> </w:t>
      </w:r>
      <w:r w:rsidRPr="00817F61">
        <w:rPr>
          <w:b/>
          <w:bCs/>
          <w:color w:val="008C9B" w:themeColor="text2"/>
        </w:rPr>
        <w:t>basis)</w:t>
      </w:r>
      <w:bookmarkEnd w:id="41"/>
      <w:bookmarkEnd w:id="42"/>
    </w:p>
    <w:p w14:paraId="656CAA17" w14:textId="77777777" w:rsidR="00817F61" w:rsidRDefault="00817F61" w:rsidP="00817F61">
      <w:pPr>
        <w:pStyle w:val="Caption"/>
        <w:keepNext/>
      </w:pPr>
    </w:p>
    <w:p w14:paraId="3D929041" w14:textId="0A5E79A0" w:rsidR="00817F61" w:rsidRDefault="00817F61" w:rsidP="00817F61">
      <w:pPr>
        <w:pStyle w:val="Caption"/>
        <w:keepNext/>
      </w:pPr>
      <w:r>
        <w:t>Affordable homes investment Type I and II UK level multipliers, 2010 basis</w:t>
      </w:r>
    </w:p>
    <w:tbl>
      <w:tblPr>
        <w:tblStyle w:val="TableGrid"/>
        <w:tblW w:w="0" w:type="auto"/>
        <w:jc w:val="center"/>
        <w:tblLook w:val="04A0" w:firstRow="1" w:lastRow="0" w:firstColumn="1" w:lastColumn="0" w:noHBand="0" w:noVBand="1"/>
      </w:tblPr>
      <w:tblGrid>
        <w:gridCol w:w="2551"/>
        <w:gridCol w:w="1417"/>
        <w:gridCol w:w="1417"/>
      </w:tblGrid>
      <w:tr w:rsidR="00817F61" w14:paraId="6D6DF789" w14:textId="77777777" w:rsidTr="00817F61">
        <w:trPr>
          <w:trHeight w:hRule="exact" w:val="340"/>
          <w:jc w:val="center"/>
        </w:trPr>
        <w:tc>
          <w:tcPr>
            <w:tcW w:w="2551" w:type="dxa"/>
            <w:tcBorders>
              <w:top w:val="single" w:sz="4" w:space="0" w:color="auto"/>
              <w:left w:val="single" w:sz="4" w:space="0" w:color="auto"/>
              <w:bottom w:val="single" w:sz="4" w:space="0" w:color="auto"/>
              <w:right w:val="single" w:sz="4" w:space="0" w:color="auto"/>
            </w:tcBorders>
            <w:shd w:val="clear" w:color="auto" w:fill="008C9B" w:themeFill="text2"/>
          </w:tcPr>
          <w:p w14:paraId="3AB4E402" w14:textId="77777777" w:rsidR="00817F61" w:rsidRPr="00A43FE5" w:rsidRDefault="00817F61" w:rsidP="008253D8">
            <w:pPr>
              <w:rPr>
                <w:b/>
                <w:color w:val="FFFFFF" w:themeColor="background1"/>
                <w:sz w:val="20"/>
              </w:rPr>
            </w:pPr>
            <w:r>
              <w:rPr>
                <w:b/>
                <w:color w:val="FFFFFF" w:themeColor="background1"/>
                <w:sz w:val="20"/>
              </w:rPr>
              <w:t>New affordable homes</w:t>
            </w:r>
          </w:p>
        </w:tc>
        <w:tc>
          <w:tcPr>
            <w:tcW w:w="1417" w:type="dxa"/>
            <w:tcBorders>
              <w:top w:val="single" w:sz="4" w:space="0" w:color="auto"/>
              <w:left w:val="single" w:sz="4" w:space="0" w:color="auto"/>
              <w:bottom w:val="single" w:sz="4" w:space="0" w:color="auto"/>
              <w:right w:val="single" w:sz="4" w:space="0" w:color="auto"/>
            </w:tcBorders>
            <w:shd w:val="clear" w:color="auto" w:fill="008C9B" w:themeFill="text2"/>
          </w:tcPr>
          <w:p w14:paraId="489BE4C3" w14:textId="77777777" w:rsidR="00817F61" w:rsidRDefault="00817F61" w:rsidP="008253D8">
            <w:pPr>
              <w:jc w:val="center"/>
              <w:rPr>
                <w:b/>
                <w:color w:val="FFFFFF" w:themeColor="background1"/>
                <w:sz w:val="20"/>
              </w:rPr>
            </w:pPr>
            <w:r>
              <w:rPr>
                <w:b/>
                <w:color w:val="FFFFFF" w:themeColor="background1"/>
                <w:sz w:val="20"/>
              </w:rPr>
              <w:t>Type I</w:t>
            </w:r>
          </w:p>
        </w:tc>
        <w:tc>
          <w:tcPr>
            <w:tcW w:w="1417" w:type="dxa"/>
            <w:tcBorders>
              <w:top w:val="single" w:sz="4" w:space="0" w:color="auto"/>
              <w:left w:val="single" w:sz="4" w:space="0" w:color="auto"/>
              <w:bottom w:val="single" w:sz="4" w:space="0" w:color="auto"/>
              <w:right w:val="single" w:sz="4" w:space="0" w:color="auto"/>
            </w:tcBorders>
            <w:shd w:val="clear" w:color="auto" w:fill="008C9B" w:themeFill="text2"/>
          </w:tcPr>
          <w:p w14:paraId="1FA3E3FC" w14:textId="77777777" w:rsidR="00817F61" w:rsidRPr="00A43FE5" w:rsidRDefault="00817F61" w:rsidP="008253D8">
            <w:pPr>
              <w:jc w:val="center"/>
              <w:rPr>
                <w:b/>
                <w:color w:val="FFFFFF" w:themeColor="background1"/>
                <w:sz w:val="20"/>
              </w:rPr>
            </w:pPr>
            <w:r>
              <w:rPr>
                <w:b/>
                <w:color w:val="FFFFFF" w:themeColor="background1"/>
                <w:sz w:val="20"/>
              </w:rPr>
              <w:t>Type II</w:t>
            </w:r>
          </w:p>
        </w:tc>
      </w:tr>
      <w:tr w:rsidR="00817F61" w14:paraId="3DA94D5A" w14:textId="77777777" w:rsidTr="00817F61">
        <w:trPr>
          <w:trHeight w:hRule="exact" w:val="308"/>
          <w:jc w:val="center"/>
        </w:trPr>
        <w:tc>
          <w:tcPr>
            <w:tcW w:w="2551" w:type="dxa"/>
            <w:tcBorders>
              <w:top w:val="single" w:sz="4" w:space="0" w:color="auto"/>
              <w:left w:val="single" w:sz="4" w:space="0" w:color="auto"/>
              <w:bottom w:val="nil"/>
              <w:right w:val="single" w:sz="4" w:space="0" w:color="auto"/>
            </w:tcBorders>
          </w:tcPr>
          <w:p w14:paraId="2EBE3D6E" w14:textId="77777777" w:rsidR="00817F61" w:rsidRPr="00A43FE5" w:rsidRDefault="00817F61" w:rsidP="008253D8">
            <w:pPr>
              <w:rPr>
                <w:b/>
                <w:sz w:val="20"/>
              </w:rPr>
            </w:pPr>
            <w:r w:rsidRPr="00A43FE5">
              <w:rPr>
                <w:b/>
                <w:sz w:val="20"/>
              </w:rPr>
              <w:t>GVA</w:t>
            </w:r>
          </w:p>
        </w:tc>
        <w:tc>
          <w:tcPr>
            <w:tcW w:w="1417" w:type="dxa"/>
            <w:tcBorders>
              <w:top w:val="single" w:sz="4" w:space="0" w:color="auto"/>
              <w:left w:val="single" w:sz="4" w:space="0" w:color="auto"/>
              <w:bottom w:val="nil"/>
              <w:right w:val="single" w:sz="4" w:space="0" w:color="auto"/>
            </w:tcBorders>
          </w:tcPr>
          <w:p w14:paraId="534765C6" w14:textId="77777777" w:rsidR="00817F61" w:rsidRPr="00A43FE5" w:rsidRDefault="00817F61" w:rsidP="008253D8">
            <w:pPr>
              <w:jc w:val="center"/>
              <w:rPr>
                <w:sz w:val="20"/>
              </w:rPr>
            </w:pPr>
            <w:r>
              <w:rPr>
                <w:sz w:val="20"/>
              </w:rPr>
              <w:t>1.93</w:t>
            </w:r>
          </w:p>
        </w:tc>
        <w:tc>
          <w:tcPr>
            <w:tcW w:w="1417" w:type="dxa"/>
            <w:tcBorders>
              <w:top w:val="single" w:sz="4" w:space="0" w:color="auto"/>
              <w:left w:val="single" w:sz="4" w:space="0" w:color="auto"/>
              <w:bottom w:val="nil"/>
              <w:right w:val="single" w:sz="4" w:space="0" w:color="auto"/>
            </w:tcBorders>
          </w:tcPr>
          <w:p w14:paraId="75183B56" w14:textId="77777777" w:rsidR="00817F61" w:rsidRPr="00A43FE5" w:rsidRDefault="00817F61" w:rsidP="008253D8">
            <w:pPr>
              <w:jc w:val="center"/>
              <w:rPr>
                <w:sz w:val="20"/>
              </w:rPr>
            </w:pPr>
            <w:r w:rsidRPr="00A43FE5">
              <w:rPr>
                <w:sz w:val="20"/>
              </w:rPr>
              <w:t>2.42</w:t>
            </w:r>
          </w:p>
        </w:tc>
      </w:tr>
      <w:tr w:rsidR="00817F61" w14:paraId="0F8F96E2" w14:textId="77777777" w:rsidTr="00817F61">
        <w:trPr>
          <w:trHeight w:hRule="exact" w:val="308"/>
          <w:jc w:val="center"/>
        </w:trPr>
        <w:tc>
          <w:tcPr>
            <w:tcW w:w="2551" w:type="dxa"/>
            <w:tcBorders>
              <w:top w:val="nil"/>
              <w:left w:val="single" w:sz="4" w:space="0" w:color="auto"/>
              <w:bottom w:val="nil"/>
              <w:right w:val="single" w:sz="4" w:space="0" w:color="auto"/>
            </w:tcBorders>
          </w:tcPr>
          <w:p w14:paraId="230939F5" w14:textId="77777777" w:rsidR="00817F61" w:rsidRPr="00A43FE5" w:rsidRDefault="00817F61" w:rsidP="008253D8">
            <w:pPr>
              <w:rPr>
                <w:b/>
                <w:sz w:val="20"/>
              </w:rPr>
            </w:pPr>
            <w:r w:rsidRPr="00A43FE5">
              <w:rPr>
                <w:b/>
                <w:sz w:val="20"/>
              </w:rPr>
              <w:t>Output</w:t>
            </w:r>
          </w:p>
        </w:tc>
        <w:tc>
          <w:tcPr>
            <w:tcW w:w="1417" w:type="dxa"/>
            <w:tcBorders>
              <w:top w:val="nil"/>
              <w:left w:val="single" w:sz="4" w:space="0" w:color="auto"/>
              <w:bottom w:val="nil"/>
              <w:right w:val="single" w:sz="4" w:space="0" w:color="auto"/>
            </w:tcBorders>
          </w:tcPr>
          <w:p w14:paraId="340131B0" w14:textId="77777777" w:rsidR="00817F61" w:rsidRPr="00A43FE5" w:rsidRDefault="00817F61" w:rsidP="008253D8">
            <w:pPr>
              <w:jc w:val="center"/>
              <w:rPr>
                <w:sz w:val="20"/>
              </w:rPr>
            </w:pPr>
            <w:r>
              <w:rPr>
                <w:sz w:val="20"/>
              </w:rPr>
              <w:t>1.91</w:t>
            </w:r>
          </w:p>
        </w:tc>
        <w:tc>
          <w:tcPr>
            <w:tcW w:w="1417" w:type="dxa"/>
            <w:tcBorders>
              <w:top w:val="nil"/>
              <w:left w:val="single" w:sz="4" w:space="0" w:color="auto"/>
              <w:bottom w:val="nil"/>
              <w:right w:val="single" w:sz="4" w:space="0" w:color="auto"/>
            </w:tcBorders>
          </w:tcPr>
          <w:p w14:paraId="2CDC03EE" w14:textId="77777777" w:rsidR="00817F61" w:rsidRPr="00A43FE5" w:rsidRDefault="00817F61" w:rsidP="008253D8">
            <w:pPr>
              <w:jc w:val="center"/>
              <w:rPr>
                <w:sz w:val="20"/>
              </w:rPr>
            </w:pPr>
            <w:r w:rsidRPr="00A43FE5">
              <w:rPr>
                <w:sz w:val="20"/>
              </w:rPr>
              <w:t>2.34</w:t>
            </w:r>
          </w:p>
        </w:tc>
      </w:tr>
      <w:tr w:rsidR="00817F61" w14:paraId="5D1C70CA" w14:textId="77777777" w:rsidTr="00817F61">
        <w:trPr>
          <w:trHeight w:hRule="exact" w:val="308"/>
          <w:jc w:val="center"/>
        </w:trPr>
        <w:tc>
          <w:tcPr>
            <w:tcW w:w="2551" w:type="dxa"/>
            <w:tcBorders>
              <w:top w:val="nil"/>
              <w:left w:val="single" w:sz="4" w:space="0" w:color="auto"/>
              <w:bottom w:val="nil"/>
              <w:right w:val="single" w:sz="4" w:space="0" w:color="auto"/>
            </w:tcBorders>
          </w:tcPr>
          <w:p w14:paraId="129C1247" w14:textId="77777777" w:rsidR="00817F61" w:rsidRPr="00A43FE5" w:rsidRDefault="00817F61" w:rsidP="008253D8">
            <w:pPr>
              <w:rPr>
                <w:b/>
                <w:sz w:val="20"/>
              </w:rPr>
            </w:pPr>
            <w:r w:rsidRPr="00A43FE5">
              <w:rPr>
                <w:b/>
                <w:sz w:val="20"/>
              </w:rPr>
              <w:t>Income</w:t>
            </w:r>
          </w:p>
        </w:tc>
        <w:tc>
          <w:tcPr>
            <w:tcW w:w="1417" w:type="dxa"/>
            <w:tcBorders>
              <w:top w:val="nil"/>
              <w:left w:val="single" w:sz="4" w:space="0" w:color="auto"/>
              <w:bottom w:val="nil"/>
              <w:right w:val="single" w:sz="4" w:space="0" w:color="auto"/>
            </w:tcBorders>
          </w:tcPr>
          <w:p w14:paraId="0875EDC9" w14:textId="77777777" w:rsidR="00817F61" w:rsidRPr="00A43FE5" w:rsidRDefault="00817F61" w:rsidP="008253D8">
            <w:pPr>
              <w:jc w:val="center"/>
              <w:rPr>
                <w:sz w:val="20"/>
              </w:rPr>
            </w:pPr>
            <w:r>
              <w:rPr>
                <w:sz w:val="20"/>
              </w:rPr>
              <w:t>2.03</w:t>
            </w:r>
          </w:p>
        </w:tc>
        <w:tc>
          <w:tcPr>
            <w:tcW w:w="1417" w:type="dxa"/>
            <w:tcBorders>
              <w:top w:val="nil"/>
              <w:left w:val="single" w:sz="4" w:space="0" w:color="auto"/>
              <w:bottom w:val="nil"/>
              <w:right w:val="single" w:sz="4" w:space="0" w:color="auto"/>
            </w:tcBorders>
          </w:tcPr>
          <w:p w14:paraId="2F2FF024" w14:textId="77777777" w:rsidR="00817F61" w:rsidRPr="00A43FE5" w:rsidRDefault="00817F61" w:rsidP="008253D8">
            <w:pPr>
              <w:jc w:val="center"/>
              <w:rPr>
                <w:sz w:val="20"/>
              </w:rPr>
            </w:pPr>
            <w:r w:rsidRPr="00A43FE5">
              <w:rPr>
                <w:sz w:val="20"/>
              </w:rPr>
              <w:t>2.45</w:t>
            </w:r>
          </w:p>
        </w:tc>
      </w:tr>
      <w:tr w:rsidR="00817F61" w14:paraId="15C071C8" w14:textId="77777777" w:rsidTr="00817F61">
        <w:trPr>
          <w:trHeight w:hRule="exact" w:val="308"/>
          <w:jc w:val="center"/>
        </w:trPr>
        <w:tc>
          <w:tcPr>
            <w:tcW w:w="2551" w:type="dxa"/>
            <w:tcBorders>
              <w:top w:val="nil"/>
              <w:left w:val="single" w:sz="4" w:space="0" w:color="auto"/>
              <w:bottom w:val="single" w:sz="4" w:space="0" w:color="auto"/>
              <w:right w:val="single" w:sz="4" w:space="0" w:color="auto"/>
            </w:tcBorders>
          </w:tcPr>
          <w:p w14:paraId="271FDBD0" w14:textId="77777777" w:rsidR="00817F61" w:rsidRPr="00A43FE5" w:rsidRDefault="00817F61" w:rsidP="008253D8">
            <w:pPr>
              <w:rPr>
                <w:b/>
                <w:sz w:val="20"/>
              </w:rPr>
            </w:pPr>
            <w:r w:rsidRPr="00A43FE5">
              <w:rPr>
                <w:b/>
                <w:sz w:val="20"/>
              </w:rPr>
              <w:t>Employment</w:t>
            </w:r>
          </w:p>
        </w:tc>
        <w:tc>
          <w:tcPr>
            <w:tcW w:w="1417" w:type="dxa"/>
            <w:tcBorders>
              <w:top w:val="nil"/>
              <w:left w:val="single" w:sz="4" w:space="0" w:color="auto"/>
              <w:bottom w:val="single" w:sz="4" w:space="0" w:color="auto"/>
              <w:right w:val="single" w:sz="4" w:space="0" w:color="auto"/>
            </w:tcBorders>
          </w:tcPr>
          <w:p w14:paraId="0C4079A8" w14:textId="77777777" w:rsidR="00817F61" w:rsidRPr="00A43FE5" w:rsidRDefault="00817F61" w:rsidP="008253D8">
            <w:pPr>
              <w:jc w:val="center"/>
              <w:rPr>
                <w:sz w:val="20"/>
              </w:rPr>
            </w:pPr>
            <w:r>
              <w:rPr>
                <w:sz w:val="20"/>
              </w:rPr>
              <w:t>1.70</w:t>
            </w:r>
          </w:p>
        </w:tc>
        <w:tc>
          <w:tcPr>
            <w:tcW w:w="1417" w:type="dxa"/>
            <w:tcBorders>
              <w:top w:val="nil"/>
              <w:left w:val="single" w:sz="4" w:space="0" w:color="auto"/>
              <w:bottom w:val="single" w:sz="4" w:space="0" w:color="auto"/>
              <w:right w:val="single" w:sz="4" w:space="0" w:color="auto"/>
            </w:tcBorders>
          </w:tcPr>
          <w:p w14:paraId="2087D343" w14:textId="77777777" w:rsidR="00817F61" w:rsidRPr="00A43FE5" w:rsidRDefault="00817F61" w:rsidP="008253D8">
            <w:pPr>
              <w:jc w:val="center"/>
              <w:rPr>
                <w:sz w:val="20"/>
              </w:rPr>
            </w:pPr>
            <w:r w:rsidRPr="00A43FE5">
              <w:rPr>
                <w:sz w:val="20"/>
              </w:rPr>
              <w:t>2.55</w:t>
            </w:r>
          </w:p>
        </w:tc>
      </w:tr>
    </w:tbl>
    <w:p w14:paraId="12D9C13A" w14:textId="77777777" w:rsidR="00817F61" w:rsidRDefault="00817F61" w:rsidP="00817F61">
      <w:bookmarkStart w:id="43" w:name="_Ref389047751"/>
    </w:p>
    <w:p w14:paraId="46D6910E" w14:textId="77777777" w:rsidR="00817F61" w:rsidRDefault="00817F61" w:rsidP="00817F61">
      <w:pPr>
        <w:pStyle w:val="Caption"/>
        <w:keepNext/>
      </w:pPr>
      <w:r>
        <w:t>Housing associations' day-to-day activities Type I and II UK level multipliers, 2010 basis</w:t>
      </w:r>
    </w:p>
    <w:tbl>
      <w:tblPr>
        <w:tblStyle w:val="TableGrid"/>
        <w:tblpPr w:leftFromText="180" w:rightFromText="180" w:vertAnchor="text" w:tblpXSpec="center" w:tblpY="1"/>
        <w:tblOverlap w:val="never"/>
        <w:tblW w:w="0" w:type="auto"/>
        <w:tblLook w:val="04A0" w:firstRow="1" w:lastRow="0" w:firstColumn="1" w:lastColumn="0" w:noHBand="0" w:noVBand="1"/>
      </w:tblPr>
      <w:tblGrid>
        <w:gridCol w:w="2551"/>
        <w:gridCol w:w="1417"/>
        <w:gridCol w:w="1417"/>
      </w:tblGrid>
      <w:tr w:rsidR="00817F61" w14:paraId="37218B61" w14:textId="77777777" w:rsidTr="00817F61">
        <w:trPr>
          <w:trHeight w:hRule="exact" w:val="340"/>
        </w:trPr>
        <w:tc>
          <w:tcPr>
            <w:tcW w:w="2551" w:type="dxa"/>
            <w:tcBorders>
              <w:top w:val="single" w:sz="4" w:space="0" w:color="auto"/>
              <w:left w:val="single" w:sz="4" w:space="0" w:color="auto"/>
              <w:bottom w:val="single" w:sz="4" w:space="0" w:color="auto"/>
              <w:right w:val="single" w:sz="4" w:space="0" w:color="auto"/>
            </w:tcBorders>
            <w:shd w:val="clear" w:color="auto" w:fill="008C9B" w:themeFill="text2"/>
          </w:tcPr>
          <w:p w14:paraId="3087AEC3" w14:textId="77777777" w:rsidR="00817F61" w:rsidRPr="00A43FE5" w:rsidRDefault="00817F61" w:rsidP="008253D8">
            <w:pPr>
              <w:rPr>
                <w:b/>
                <w:color w:val="FFFFFF" w:themeColor="background1"/>
                <w:sz w:val="20"/>
              </w:rPr>
            </w:pPr>
            <w:r>
              <w:rPr>
                <w:b/>
                <w:color w:val="FFFFFF" w:themeColor="background1"/>
                <w:sz w:val="20"/>
              </w:rPr>
              <w:t>HA day-to-day activities</w:t>
            </w:r>
          </w:p>
        </w:tc>
        <w:tc>
          <w:tcPr>
            <w:tcW w:w="1417" w:type="dxa"/>
            <w:tcBorders>
              <w:top w:val="single" w:sz="4" w:space="0" w:color="auto"/>
              <w:left w:val="single" w:sz="4" w:space="0" w:color="auto"/>
              <w:bottom w:val="single" w:sz="4" w:space="0" w:color="auto"/>
              <w:right w:val="single" w:sz="4" w:space="0" w:color="auto"/>
            </w:tcBorders>
            <w:shd w:val="clear" w:color="auto" w:fill="008C9B" w:themeFill="text2"/>
          </w:tcPr>
          <w:p w14:paraId="60483F29" w14:textId="77777777" w:rsidR="00817F61" w:rsidRDefault="00817F61" w:rsidP="008253D8">
            <w:pPr>
              <w:jc w:val="center"/>
              <w:rPr>
                <w:b/>
                <w:color w:val="FFFFFF" w:themeColor="background1"/>
                <w:sz w:val="20"/>
              </w:rPr>
            </w:pPr>
            <w:r>
              <w:rPr>
                <w:b/>
                <w:color w:val="FFFFFF" w:themeColor="background1"/>
                <w:sz w:val="20"/>
              </w:rPr>
              <w:t>Type I</w:t>
            </w:r>
          </w:p>
        </w:tc>
        <w:tc>
          <w:tcPr>
            <w:tcW w:w="1417" w:type="dxa"/>
            <w:tcBorders>
              <w:top w:val="single" w:sz="4" w:space="0" w:color="auto"/>
              <w:left w:val="single" w:sz="4" w:space="0" w:color="auto"/>
              <w:bottom w:val="single" w:sz="4" w:space="0" w:color="auto"/>
              <w:right w:val="single" w:sz="4" w:space="0" w:color="auto"/>
            </w:tcBorders>
            <w:shd w:val="clear" w:color="auto" w:fill="008C9B" w:themeFill="text2"/>
          </w:tcPr>
          <w:p w14:paraId="4EABFD4E" w14:textId="77777777" w:rsidR="00817F61" w:rsidRPr="00A43FE5" w:rsidRDefault="00817F61" w:rsidP="008253D8">
            <w:pPr>
              <w:jc w:val="center"/>
              <w:rPr>
                <w:b/>
                <w:color w:val="FFFFFF" w:themeColor="background1"/>
                <w:sz w:val="20"/>
              </w:rPr>
            </w:pPr>
            <w:r>
              <w:rPr>
                <w:b/>
                <w:color w:val="FFFFFF" w:themeColor="background1"/>
                <w:sz w:val="20"/>
              </w:rPr>
              <w:t>Type II</w:t>
            </w:r>
          </w:p>
        </w:tc>
      </w:tr>
      <w:tr w:rsidR="00817F61" w14:paraId="290A2DA0" w14:textId="77777777" w:rsidTr="00817F61">
        <w:trPr>
          <w:trHeight w:hRule="exact" w:val="361"/>
        </w:trPr>
        <w:tc>
          <w:tcPr>
            <w:tcW w:w="2551" w:type="dxa"/>
            <w:tcBorders>
              <w:top w:val="single" w:sz="4" w:space="0" w:color="auto"/>
              <w:left w:val="single" w:sz="4" w:space="0" w:color="auto"/>
              <w:bottom w:val="nil"/>
              <w:right w:val="single" w:sz="4" w:space="0" w:color="auto"/>
            </w:tcBorders>
          </w:tcPr>
          <w:p w14:paraId="1CECCD40" w14:textId="77777777" w:rsidR="00817F61" w:rsidRPr="00A43FE5" w:rsidRDefault="00817F61" w:rsidP="008253D8">
            <w:pPr>
              <w:rPr>
                <w:b/>
                <w:sz w:val="20"/>
              </w:rPr>
            </w:pPr>
            <w:r w:rsidRPr="00A43FE5">
              <w:rPr>
                <w:b/>
                <w:sz w:val="20"/>
              </w:rPr>
              <w:t>GVA</w:t>
            </w:r>
          </w:p>
        </w:tc>
        <w:tc>
          <w:tcPr>
            <w:tcW w:w="1417" w:type="dxa"/>
            <w:tcBorders>
              <w:top w:val="single" w:sz="4" w:space="0" w:color="auto"/>
              <w:left w:val="single" w:sz="4" w:space="0" w:color="auto"/>
              <w:bottom w:val="nil"/>
              <w:right w:val="single" w:sz="4" w:space="0" w:color="auto"/>
            </w:tcBorders>
          </w:tcPr>
          <w:p w14:paraId="438ACEE4" w14:textId="77777777" w:rsidR="00817F61" w:rsidRPr="00A43FE5" w:rsidRDefault="00817F61" w:rsidP="008253D8">
            <w:pPr>
              <w:jc w:val="center"/>
              <w:rPr>
                <w:sz w:val="20"/>
              </w:rPr>
            </w:pPr>
            <w:r>
              <w:rPr>
                <w:sz w:val="20"/>
              </w:rPr>
              <w:t>1.83</w:t>
            </w:r>
          </w:p>
        </w:tc>
        <w:tc>
          <w:tcPr>
            <w:tcW w:w="1417" w:type="dxa"/>
            <w:tcBorders>
              <w:top w:val="single" w:sz="4" w:space="0" w:color="auto"/>
              <w:left w:val="single" w:sz="4" w:space="0" w:color="auto"/>
              <w:bottom w:val="nil"/>
              <w:right w:val="single" w:sz="4" w:space="0" w:color="auto"/>
            </w:tcBorders>
          </w:tcPr>
          <w:p w14:paraId="3F2FD4F9" w14:textId="77777777" w:rsidR="00817F61" w:rsidRPr="00A43FE5" w:rsidRDefault="00817F61" w:rsidP="008253D8">
            <w:pPr>
              <w:jc w:val="center"/>
              <w:rPr>
                <w:sz w:val="20"/>
              </w:rPr>
            </w:pPr>
            <w:r w:rsidRPr="00A43FE5">
              <w:rPr>
                <w:sz w:val="20"/>
              </w:rPr>
              <w:t>2.52</w:t>
            </w:r>
          </w:p>
        </w:tc>
      </w:tr>
      <w:tr w:rsidR="00817F61" w14:paraId="0E1D1C6D" w14:textId="77777777" w:rsidTr="00817F61">
        <w:trPr>
          <w:trHeight w:hRule="exact" w:val="361"/>
        </w:trPr>
        <w:tc>
          <w:tcPr>
            <w:tcW w:w="2551" w:type="dxa"/>
            <w:tcBorders>
              <w:top w:val="nil"/>
              <w:left w:val="single" w:sz="4" w:space="0" w:color="auto"/>
              <w:bottom w:val="nil"/>
              <w:right w:val="single" w:sz="4" w:space="0" w:color="auto"/>
            </w:tcBorders>
          </w:tcPr>
          <w:p w14:paraId="06850C73" w14:textId="77777777" w:rsidR="00817F61" w:rsidRPr="00A43FE5" w:rsidRDefault="00817F61" w:rsidP="008253D8">
            <w:pPr>
              <w:rPr>
                <w:b/>
                <w:sz w:val="20"/>
              </w:rPr>
            </w:pPr>
            <w:r w:rsidRPr="00A43FE5">
              <w:rPr>
                <w:b/>
                <w:sz w:val="20"/>
              </w:rPr>
              <w:t>Output</w:t>
            </w:r>
          </w:p>
        </w:tc>
        <w:tc>
          <w:tcPr>
            <w:tcW w:w="1417" w:type="dxa"/>
            <w:tcBorders>
              <w:top w:val="nil"/>
              <w:left w:val="single" w:sz="4" w:space="0" w:color="auto"/>
              <w:bottom w:val="nil"/>
              <w:right w:val="single" w:sz="4" w:space="0" w:color="auto"/>
            </w:tcBorders>
          </w:tcPr>
          <w:p w14:paraId="393B4988" w14:textId="77777777" w:rsidR="00817F61" w:rsidRPr="00A43FE5" w:rsidRDefault="00817F61" w:rsidP="008253D8">
            <w:pPr>
              <w:jc w:val="center"/>
              <w:rPr>
                <w:sz w:val="20"/>
              </w:rPr>
            </w:pPr>
            <w:r>
              <w:rPr>
                <w:sz w:val="20"/>
              </w:rPr>
              <w:t>1.81</w:t>
            </w:r>
          </w:p>
        </w:tc>
        <w:tc>
          <w:tcPr>
            <w:tcW w:w="1417" w:type="dxa"/>
            <w:tcBorders>
              <w:top w:val="nil"/>
              <w:left w:val="single" w:sz="4" w:space="0" w:color="auto"/>
              <w:bottom w:val="nil"/>
              <w:right w:val="single" w:sz="4" w:space="0" w:color="auto"/>
            </w:tcBorders>
          </w:tcPr>
          <w:p w14:paraId="3280B143" w14:textId="77777777" w:rsidR="00817F61" w:rsidRPr="00A43FE5" w:rsidRDefault="00817F61" w:rsidP="008253D8">
            <w:pPr>
              <w:jc w:val="center"/>
              <w:rPr>
                <w:sz w:val="20"/>
              </w:rPr>
            </w:pPr>
            <w:r w:rsidRPr="00A43FE5">
              <w:rPr>
                <w:sz w:val="20"/>
              </w:rPr>
              <w:t>2.42</w:t>
            </w:r>
          </w:p>
        </w:tc>
      </w:tr>
      <w:tr w:rsidR="00817F61" w14:paraId="45A9EE0A" w14:textId="77777777" w:rsidTr="00817F61">
        <w:trPr>
          <w:trHeight w:hRule="exact" w:val="361"/>
        </w:trPr>
        <w:tc>
          <w:tcPr>
            <w:tcW w:w="2551" w:type="dxa"/>
            <w:tcBorders>
              <w:top w:val="nil"/>
              <w:left w:val="single" w:sz="4" w:space="0" w:color="auto"/>
              <w:bottom w:val="nil"/>
              <w:right w:val="single" w:sz="4" w:space="0" w:color="auto"/>
            </w:tcBorders>
          </w:tcPr>
          <w:p w14:paraId="0DD84736" w14:textId="77777777" w:rsidR="00817F61" w:rsidRPr="00A43FE5" w:rsidRDefault="00817F61" w:rsidP="008253D8">
            <w:pPr>
              <w:rPr>
                <w:b/>
                <w:sz w:val="20"/>
              </w:rPr>
            </w:pPr>
            <w:r w:rsidRPr="00A43FE5">
              <w:rPr>
                <w:b/>
                <w:sz w:val="20"/>
              </w:rPr>
              <w:t>Income</w:t>
            </w:r>
          </w:p>
        </w:tc>
        <w:tc>
          <w:tcPr>
            <w:tcW w:w="1417" w:type="dxa"/>
            <w:tcBorders>
              <w:top w:val="nil"/>
              <w:left w:val="single" w:sz="4" w:space="0" w:color="auto"/>
              <w:bottom w:val="nil"/>
              <w:right w:val="single" w:sz="4" w:space="0" w:color="auto"/>
            </w:tcBorders>
          </w:tcPr>
          <w:p w14:paraId="3D308C47" w14:textId="77777777" w:rsidR="00817F61" w:rsidRPr="00A43FE5" w:rsidRDefault="00817F61" w:rsidP="008253D8">
            <w:pPr>
              <w:jc w:val="center"/>
              <w:rPr>
                <w:sz w:val="20"/>
              </w:rPr>
            </w:pPr>
            <w:r>
              <w:rPr>
                <w:sz w:val="20"/>
              </w:rPr>
              <w:t>1.90</w:t>
            </w:r>
          </w:p>
        </w:tc>
        <w:tc>
          <w:tcPr>
            <w:tcW w:w="1417" w:type="dxa"/>
            <w:tcBorders>
              <w:top w:val="nil"/>
              <w:left w:val="single" w:sz="4" w:space="0" w:color="auto"/>
              <w:bottom w:val="nil"/>
              <w:right w:val="single" w:sz="4" w:space="0" w:color="auto"/>
            </w:tcBorders>
          </w:tcPr>
          <w:p w14:paraId="0A825956" w14:textId="77777777" w:rsidR="00817F61" w:rsidRPr="00A43FE5" w:rsidRDefault="00817F61" w:rsidP="008253D8">
            <w:pPr>
              <w:jc w:val="center"/>
              <w:rPr>
                <w:sz w:val="20"/>
              </w:rPr>
            </w:pPr>
            <w:r w:rsidRPr="00A43FE5">
              <w:rPr>
                <w:sz w:val="20"/>
              </w:rPr>
              <w:t>2.62</w:t>
            </w:r>
          </w:p>
        </w:tc>
      </w:tr>
      <w:tr w:rsidR="00817F61" w14:paraId="3E5EDC5B" w14:textId="77777777" w:rsidTr="00817F61">
        <w:trPr>
          <w:trHeight w:hRule="exact" w:val="361"/>
        </w:trPr>
        <w:tc>
          <w:tcPr>
            <w:tcW w:w="2551" w:type="dxa"/>
            <w:tcBorders>
              <w:top w:val="nil"/>
              <w:left w:val="single" w:sz="4" w:space="0" w:color="auto"/>
              <w:bottom w:val="single" w:sz="4" w:space="0" w:color="auto"/>
              <w:right w:val="single" w:sz="4" w:space="0" w:color="auto"/>
            </w:tcBorders>
          </w:tcPr>
          <w:p w14:paraId="231DDF82" w14:textId="77777777" w:rsidR="00817F61" w:rsidRPr="00A43FE5" w:rsidRDefault="00817F61" w:rsidP="008253D8">
            <w:pPr>
              <w:rPr>
                <w:b/>
                <w:sz w:val="20"/>
              </w:rPr>
            </w:pPr>
            <w:r w:rsidRPr="00A43FE5">
              <w:rPr>
                <w:b/>
                <w:sz w:val="20"/>
              </w:rPr>
              <w:t>Employment</w:t>
            </w:r>
          </w:p>
        </w:tc>
        <w:tc>
          <w:tcPr>
            <w:tcW w:w="1417" w:type="dxa"/>
            <w:tcBorders>
              <w:top w:val="nil"/>
              <w:left w:val="single" w:sz="4" w:space="0" w:color="auto"/>
              <w:bottom w:val="single" w:sz="4" w:space="0" w:color="auto"/>
              <w:right w:val="single" w:sz="4" w:space="0" w:color="auto"/>
            </w:tcBorders>
          </w:tcPr>
          <w:p w14:paraId="4C144AF4" w14:textId="77777777" w:rsidR="00817F61" w:rsidRPr="00A43FE5" w:rsidRDefault="00817F61" w:rsidP="008253D8">
            <w:pPr>
              <w:jc w:val="center"/>
              <w:rPr>
                <w:sz w:val="20"/>
              </w:rPr>
            </w:pPr>
            <w:r>
              <w:rPr>
                <w:sz w:val="20"/>
              </w:rPr>
              <w:t>1.93</w:t>
            </w:r>
          </w:p>
        </w:tc>
        <w:tc>
          <w:tcPr>
            <w:tcW w:w="1417" w:type="dxa"/>
            <w:tcBorders>
              <w:top w:val="nil"/>
              <w:left w:val="single" w:sz="4" w:space="0" w:color="auto"/>
              <w:bottom w:val="single" w:sz="4" w:space="0" w:color="auto"/>
              <w:right w:val="single" w:sz="4" w:space="0" w:color="auto"/>
            </w:tcBorders>
          </w:tcPr>
          <w:p w14:paraId="418C4C7B" w14:textId="77777777" w:rsidR="00817F61" w:rsidRPr="00A43FE5" w:rsidRDefault="00817F61" w:rsidP="008253D8">
            <w:pPr>
              <w:jc w:val="center"/>
              <w:rPr>
                <w:sz w:val="20"/>
              </w:rPr>
            </w:pPr>
            <w:r w:rsidRPr="00A43FE5">
              <w:rPr>
                <w:sz w:val="20"/>
              </w:rPr>
              <w:t>2.16</w:t>
            </w:r>
          </w:p>
        </w:tc>
      </w:tr>
    </w:tbl>
    <w:p w14:paraId="58386872" w14:textId="77777777" w:rsidR="00817F61" w:rsidRDefault="00817F61" w:rsidP="00817F61"/>
    <w:p w14:paraId="070BD202" w14:textId="77777777" w:rsidR="00817F61" w:rsidRDefault="00817F61" w:rsidP="00817F61"/>
    <w:p w14:paraId="6B843C1D" w14:textId="77777777" w:rsidR="00817F61" w:rsidRDefault="00817F61" w:rsidP="00817F61"/>
    <w:p w14:paraId="4B0316E0" w14:textId="77777777" w:rsidR="00817F61" w:rsidRDefault="00817F61" w:rsidP="00817F61"/>
    <w:p w14:paraId="50917068" w14:textId="77777777" w:rsidR="00817F61" w:rsidRDefault="00817F61" w:rsidP="00817F61"/>
    <w:p w14:paraId="7692283C" w14:textId="2C93B242" w:rsidR="00817F61" w:rsidRDefault="00817F61" w:rsidP="00817F61">
      <w:pPr>
        <w:pStyle w:val="Caption"/>
        <w:keepNext/>
        <w:keepLines/>
      </w:pPr>
      <w:bookmarkStart w:id="44" w:name="_Ref479586193"/>
      <w:bookmarkEnd w:id="43"/>
      <w:r>
        <w:lastRenderedPageBreak/>
        <w:t xml:space="preserve">Table </w:t>
      </w:r>
      <w:r w:rsidR="00E6080E">
        <w:fldChar w:fldCharType="begin"/>
      </w:r>
      <w:r w:rsidR="00E6080E">
        <w:instrText xml:space="preserve"> SEQ Table \* ARABIC </w:instrText>
      </w:r>
      <w:r w:rsidR="00E6080E">
        <w:fldChar w:fldCharType="separate"/>
      </w:r>
      <w:r w:rsidR="00142F7F">
        <w:rPr>
          <w:noProof/>
        </w:rPr>
        <w:t>11</w:t>
      </w:r>
      <w:r w:rsidR="00E6080E">
        <w:rPr>
          <w:noProof/>
        </w:rPr>
        <w:fldChar w:fldCharType="end"/>
      </w:r>
      <w:bookmarkEnd w:id="44"/>
      <w:r>
        <w:t>: M</w:t>
      </w:r>
      <w:r w:rsidRPr="00D61550">
        <w:t>ultipliers</w:t>
      </w:r>
      <w:r>
        <w:t xml:space="preserve"> for England and the English regions, 2010 basis</w:t>
      </w:r>
    </w:p>
    <w:p w14:paraId="601E798F" w14:textId="77777777" w:rsidR="00817F61" w:rsidRDefault="00817F61" w:rsidP="00817F61">
      <w:pPr>
        <w:keepNext/>
        <w:keepLines/>
      </w:pPr>
      <w:r w:rsidRPr="00E44C8E">
        <w:rPr>
          <w:noProof/>
          <w:lang w:eastAsia="en-GB"/>
        </w:rPr>
        <w:drawing>
          <wp:inline distT="0" distB="0" distL="0" distR="0" wp14:anchorId="0C2A5538" wp14:editId="4F13F8E5">
            <wp:extent cx="5731510" cy="6905367"/>
            <wp:effectExtent l="0" t="0" r="254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stretch>
                      <a:fillRect/>
                    </a:stretch>
                  </pic:blipFill>
                  <pic:spPr>
                    <a:xfrm>
                      <a:off x="0" y="0"/>
                      <a:ext cx="5731510" cy="6905367"/>
                    </a:xfrm>
                    <a:prstGeom prst="rect">
                      <a:avLst/>
                    </a:prstGeom>
                  </pic:spPr>
                </pic:pic>
              </a:graphicData>
            </a:graphic>
          </wp:inline>
        </w:drawing>
      </w:r>
    </w:p>
    <w:p w14:paraId="57FB2F4A" w14:textId="5A5204FF" w:rsidR="00E45BF6" w:rsidRDefault="00E45BF6" w:rsidP="00E45BF6">
      <w:pPr>
        <w:rPr>
          <w:rFonts w:cs="Calibri"/>
        </w:rPr>
      </w:pPr>
    </w:p>
    <w:p w14:paraId="17967FAF" w14:textId="03AD1646" w:rsidR="00E45BF6" w:rsidRDefault="00E45BF6" w:rsidP="00E45BF6">
      <w:pPr>
        <w:rPr>
          <w:rFonts w:cs="Calibri"/>
        </w:rPr>
      </w:pPr>
    </w:p>
    <w:p w14:paraId="223C29AA" w14:textId="79171501" w:rsidR="00E45BF6" w:rsidRDefault="00E45BF6" w:rsidP="00E45BF6">
      <w:pPr>
        <w:rPr>
          <w:rFonts w:cs="Calibri"/>
        </w:rPr>
      </w:pPr>
    </w:p>
    <w:p w14:paraId="058DB4B0" w14:textId="28597804" w:rsidR="00E45BF6" w:rsidRDefault="00E45BF6" w:rsidP="00E45BF6">
      <w:pPr>
        <w:rPr>
          <w:rFonts w:cs="Calibri"/>
        </w:rPr>
      </w:pPr>
    </w:p>
    <w:p w14:paraId="14FEBF9F" w14:textId="77777777" w:rsidR="00385887" w:rsidRDefault="00385887" w:rsidP="00385887"/>
    <w:p w14:paraId="6CD72ACB" w14:textId="49712755" w:rsidR="00385887" w:rsidRPr="00385887" w:rsidRDefault="00385887" w:rsidP="00385887">
      <w:pPr>
        <w:sectPr w:rsidR="00385887" w:rsidRPr="00385887" w:rsidSect="00EC026E">
          <w:headerReference w:type="even" r:id="rId29"/>
          <w:headerReference w:type="default" r:id="rId30"/>
          <w:footerReference w:type="default" r:id="rId31"/>
          <w:headerReference w:type="first" r:id="rId32"/>
          <w:type w:val="continuous"/>
          <w:pgSz w:w="11906" w:h="16838"/>
          <w:pgMar w:top="1440" w:right="1440" w:bottom="1440" w:left="1440" w:header="709" w:footer="709" w:gutter="0"/>
          <w:cols w:space="708"/>
          <w:docGrid w:linePitch="360"/>
        </w:sectPr>
      </w:pPr>
    </w:p>
    <w:p w14:paraId="1591A0FD" w14:textId="4652A41F" w:rsidR="00571E5F" w:rsidRPr="001E5692" w:rsidRDefault="00571E5F" w:rsidP="00654E29">
      <w:pPr>
        <w:spacing w:after="0"/>
        <w:rPr>
          <w:rFonts w:ascii="HelveticaNeueLT Std Med" w:hAnsi="HelveticaNeueLT Std Med"/>
          <w:b/>
          <w:bCs/>
          <w:color w:val="262626" w:themeColor="text1" w:themeTint="D9"/>
          <w:sz w:val="20"/>
        </w:rPr>
      </w:pPr>
      <w:r>
        <w:rPr>
          <w:rFonts w:ascii="HelveticaNeueLT Std Lt" w:hAnsi="HelveticaNeueLT Std Lt"/>
          <w:noProof/>
          <w:color w:val="4A442A" w:themeColor="background2" w:themeShade="40"/>
          <w:sz w:val="52"/>
          <w:szCs w:val="52"/>
          <w:lang w:eastAsia="en-GB"/>
        </w:rPr>
        <w:lastRenderedPageBreak/>
        <w:drawing>
          <wp:anchor distT="0" distB="0" distL="114300" distR="114300" simplePos="0" relativeHeight="251884544" behindDoc="0" locked="0" layoutInCell="1" allowOverlap="1" wp14:anchorId="193B8398" wp14:editId="505E7197">
            <wp:simplePos x="0" y="0"/>
            <wp:positionH relativeFrom="column">
              <wp:posOffset>4981575</wp:posOffset>
            </wp:positionH>
            <wp:positionV relativeFrom="paragraph">
              <wp:posOffset>-230177</wp:posOffset>
            </wp:positionV>
            <wp:extent cx="1102995" cy="1103630"/>
            <wp:effectExtent l="0" t="0" r="1905" b="127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centre-for-economics-and-business-research-cebr-logo-vector.png"/>
                    <pic:cNvPicPr/>
                  </pic:nvPicPr>
                  <pic:blipFill rotWithShape="1">
                    <a:blip r:embed="rId9" cstate="print">
                      <a:extLst>
                        <a:ext uri="{28A0092B-C50C-407E-A947-70E740481C1C}">
                          <a14:useLocalDpi xmlns:a14="http://schemas.microsoft.com/office/drawing/2010/main" val="0"/>
                        </a:ext>
                      </a:extLst>
                    </a:blip>
                    <a:srcRect l="23518" t="2617" r="23880" b="2657"/>
                    <a:stretch/>
                  </pic:blipFill>
                  <pic:spPr bwMode="auto">
                    <a:xfrm>
                      <a:off x="0" y="0"/>
                      <a:ext cx="1102995" cy="11036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HelveticaNeueLT Std Med" w:hAnsi="HelveticaNeueLT Std Med"/>
          <w:b/>
          <w:bCs/>
          <w:color w:val="262626" w:themeColor="text1" w:themeTint="D9"/>
          <w:sz w:val="20"/>
        </w:rPr>
        <w:softHyphen/>
      </w:r>
    </w:p>
    <w:sectPr w:rsidR="00571E5F" w:rsidRPr="001E5692" w:rsidSect="009519BE">
      <w:headerReference w:type="even" r:id="rId33"/>
      <w:headerReference w:type="default" r:id="rId34"/>
      <w:footerReference w:type="default" r:id="rId35"/>
      <w:headerReference w:type="first" r:id="rId36"/>
      <w:footerReference w:type="first" r:id="rId37"/>
      <w:type w:val="continuous"/>
      <w:pgSz w:w="11906" w:h="16838"/>
      <w:pgMar w:top="1440" w:right="1440" w:bottom="1440" w:left="1440"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1E36F8" w14:textId="77777777" w:rsidR="002F31A7" w:rsidRDefault="002F31A7" w:rsidP="00717C6C">
      <w:r>
        <w:separator/>
      </w:r>
    </w:p>
    <w:p w14:paraId="462FCB98" w14:textId="77777777" w:rsidR="002F31A7" w:rsidRDefault="002F31A7"/>
  </w:endnote>
  <w:endnote w:type="continuationSeparator" w:id="0">
    <w:p w14:paraId="1909FF9C" w14:textId="77777777" w:rsidR="002F31A7" w:rsidRDefault="002F31A7" w:rsidP="00717C6C">
      <w:r>
        <w:continuationSeparator/>
      </w:r>
    </w:p>
    <w:p w14:paraId="2F9FB7E6" w14:textId="77777777" w:rsidR="002F31A7" w:rsidRDefault="002F31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otham Light">
    <w:altName w:val="Arial"/>
    <w:panose1 w:val="00000000000000000000"/>
    <w:charset w:val="00"/>
    <w:family w:val="modern"/>
    <w:notTrueType/>
    <w:pitch w:val="variable"/>
    <w:sig w:usb0="A10000FF" w:usb1="4000005B" w:usb2="00000000" w:usb3="00000000" w:csb0="0000009B"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Helvetica Neue LT Std 65 Medium">
    <w:altName w:val="Arial"/>
    <w:panose1 w:val="00000000000000000000"/>
    <w:charset w:val="00"/>
    <w:family w:val="swiss"/>
    <w:notTrueType/>
    <w:pitch w:val="variable"/>
    <w:sig w:usb0="800000AF" w:usb1="4000204A" w:usb2="00000000" w:usb3="00000000" w:csb0="00000001" w:csb1="00000000"/>
  </w:font>
  <w:font w:name="HelveticaNeueLT Std Med">
    <w:altName w:val="Arial"/>
    <w:panose1 w:val="00000000000000000000"/>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LT Std Lt">
    <w:altName w:val="Arial"/>
    <w:panose1 w:val="00000000000000000000"/>
    <w:charset w:val="00"/>
    <w:family w:val="swiss"/>
    <w:notTrueType/>
    <w:pitch w:val="variable"/>
    <w:sig w:usb0="800000AF" w:usb1="4000204A" w:usb2="00000000" w:usb3="00000000" w:csb0="00000001" w:csb1="00000000"/>
  </w:font>
  <w:font w:name="Helvetica Neue">
    <w:altName w:val="Sylfaen"/>
    <w:charset w:val="00"/>
    <w:family w:val="auto"/>
    <w:pitch w:val="variable"/>
    <w:sig w:usb0="E50002FF" w:usb1="500079DB" w:usb2="00000010" w:usb3="00000000" w:csb0="00000001" w:csb1="00000000"/>
  </w:font>
  <w:font w:name="HelveticaNeueLT Std">
    <w:altName w:val="Arial"/>
    <w:panose1 w:val="00000000000000000000"/>
    <w:charset w:val="00"/>
    <w:family w:val="swiss"/>
    <w:notTrueType/>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Arla InterFace Light">
    <w:altName w:val="Corbel"/>
    <w:charset w:val="00"/>
    <w:family w:val="swiss"/>
    <w:pitch w:val="variable"/>
    <w:sig w:usb0="00000001" w:usb1="5000205B" w:usb2="00000000" w:usb3="00000000" w:csb0="00000093" w:csb1="00000000"/>
  </w:font>
  <w:font w:name="Helvetica Neue Light">
    <w:altName w:val="Arial Nova Light"/>
    <w:charset w:val="00"/>
    <w:family w:val="auto"/>
    <w:pitch w:val="variable"/>
    <w:sig w:usb0="00000001" w:usb1="5000205B" w:usb2="00000002" w:usb3="00000000" w:csb0="00000007" w:csb1="00000000"/>
  </w:font>
  <w:font w:name="Bliss Pro Light">
    <w:altName w:val="Cambria"/>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003E7" w14:textId="77777777" w:rsidR="00830D25" w:rsidRPr="00DA31EA" w:rsidRDefault="00830D25" w:rsidP="002C0012">
    <w:pPr>
      <w:pStyle w:val="Footer"/>
      <w:tabs>
        <w:tab w:val="clear" w:pos="4536"/>
        <w:tab w:val="clear" w:pos="9072"/>
        <w:tab w:val="left" w:pos="6840"/>
      </w:tabs>
      <w:rPr>
        <w:rFonts w:ascii="HelveticaNeueLT Std" w:hAnsi="HelveticaNeueLT Std"/>
        <w:sz w:val="16"/>
        <w:szCs w:val="16"/>
      </w:rPr>
    </w:pPr>
    <w:r>
      <w:rPr>
        <w:noProof/>
        <w:lang w:eastAsia="en-GB"/>
      </w:rPr>
      <w:drawing>
        <wp:anchor distT="0" distB="0" distL="114300" distR="114300" simplePos="0" relativeHeight="251699200" behindDoc="1" locked="0" layoutInCell="1" allowOverlap="1" wp14:anchorId="5633ABE0" wp14:editId="17558A11">
          <wp:simplePos x="0" y="0"/>
          <wp:positionH relativeFrom="column">
            <wp:posOffset>-983673</wp:posOffset>
          </wp:positionH>
          <wp:positionV relativeFrom="paragraph">
            <wp:posOffset>375434</wp:posOffset>
          </wp:positionV>
          <wp:extent cx="7760278" cy="551972"/>
          <wp:effectExtent l="0" t="0" r="0" b="0"/>
          <wp:wrapNone/>
          <wp:docPr id="285" name="Picture 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Artboard 27 copy 12.png"/>
                  <pic:cNvPicPr/>
                </pic:nvPicPr>
                <pic:blipFill>
                  <a:blip r:embed="rId1">
                    <a:extLst>
                      <a:ext uri="{28A0092B-C50C-407E-A947-70E740481C1C}">
                        <a14:useLocalDpi xmlns:a14="http://schemas.microsoft.com/office/drawing/2010/main" val="0"/>
                      </a:ext>
                    </a:extLst>
                  </a:blip>
                  <a:stretch>
                    <a:fillRect/>
                  </a:stretch>
                </pic:blipFill>
                <pic:spPr>
                  <a:xfrm>
                    <a:off x="0" y="0"/>
                    <a:ext cx="7853179" cy="558580"/>
                  </a:xfrm>
                  <a:prstGeom prst="rect">
                    <a:avLst/>
                  </a:prstGeom>
                </pic:spPr>
              </pic:pic>
            </a:graphicData>
          </a:graphic>
          <wp14:sizeRelH relativeFrom="page">
            <wp14:pctWidth>0</wp14:pctWidth>
          </wp14:sizeRelH>
          <wp14:sizeRelV relativeFrom="page">
            <wp14:pctHeight>0</wp14:pctHeight>
          </wp14:sizeRelV>
        </wp:anchor>
      </w:drawing>
    </w:r>
  </w:p>
  <w:p w14:paraId="06828D7D" w14:textId="77777777" w:rsidR="00830D25" w:rsidRDefault="00830D25">
    <w:pPr>
      <w:pStyle w:val="Footer"/>
    </w:pPr>
    <w:r w:rsidRPr="001E3806">
      <w:rPr>
        <w:rFonts w:ascii="HelveticaNeueLT Std" w:hAnsi="HelveticaNeueLT Std"/>
        <w:noProof/>
        <w:sz w:val="16"/>
        <w:szCs w:val="16"/>
        <w:lang w:eastAsia="en-GB"/>
      </w:rPr>
      <w:drawing>
        <wp:anchor distT="0" distB="0" distL="114300" distR="114300" simplePos="0" relativeHeight="251701248" behindDoc="0" locked="0" layoutInCell="1" allowOverlap="1" wp14:anchorId="479E71E9" wp14:editId="2484D947">
          <wp:simplePos x="0" y="0"/>
          <wp:positionH relativeFrom="column">
            <wp:posOffset>5281930</wp:posOffset>
          </wp:positionH>
          <wp:positionV relativeFrom="paragraph">
            <wp:posOffset>347380</wp:posOffset>
          </wp:positionV>
          <wp:extent cx="443001" cy="154959"/>
          <wp:effectExtent l="0" t="0" r="1905" b="0"/>
          <wp:wrapNone/>
          <wp:docPr id="286" name="Google Shape;21;p38">
            <a:extLst xmlns:a="http://schemas.openxmlformats.org/drawingml/2006/main">
              <a:ext uri="{FF2B5EF4-FFF2-40B4-BE49-F238E27FC236}">
                <a16:creationId xmlns:a16="http://schemas.microsoft.com/office/drawing/2014/main" id="{35CD60BD-E3A3-3343-BC43-7C81A3473D05}"/>
              </a:ext>
            </a:extLst>
          </wp:docPr>
          <wp:cNvGraphicFramePr/>
          <a:graphic xmlns:a="http://schemas.openxmlformats.org/drawingml/2006/main">
            <a:graphicData uri="http://schemas.openxmlformats.org/drawingml/2006/picture">
              <pic:pic xmlns:pic="http://schemas.openxmlformats.org/drawingml/2006/picture">
                <pic:nvPicPr>
                  <pic:cNvPr id="7" name="Google Shape;21;p38">
                    <a:extLst>
                      <a:ext uri="{FF2B5EF4-FFF2-40B4-BE49-F238E27FC236}">
                        <a16:creationId xmlns:a16="http://schemas.microsoft.com/office/drawing/2014/main" id="{35CD60BD-E3A3-3343-BC43-7C81A3473D05}"/>
                      </a:ext>
                    </a:extLst>
                  </pic:cNvPr>
                  <pic:cNvPicPr preferRelativeResize="0"/>
                </pic:nvPicPr>
                <pic:blipFill rotWithShape="1">
                  <a:blip r:embed="rId2">
                    <a:alphaModFix/>
                    <a:extLst>
                      <a:ext uri="{28A0092B-C50C-407E-A947-70E740481C1C}">
                        <a14:useLocalDpi xmlns:a14="http://schemas.microsoft.com/office/drawing/2010/main" val="0"/>
                      </a:ext>
                    </a:extLst>
                  </a:blip>
                  <a:srcRect/>
                  <a:stretch/>
                </pic:blipFill>
                <pic:spPr>
                  <a:xfrm>
                    <a:off x="0" y="0"/>
                    <a:ext cx="443001" cy="154959"/>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elveticaNeueLT Std" w:hAnsi="HelveticaNeueLT Std"/>
        <w:i/>
        <w:iCs/>
        <w:noProof/>
        <w:color w:val="A6A6A6" w:themeColor="background1" w:themeShade="A6"/>
        <w:sz w:val="16"/>
        <w:szCs w:val="16"/>
        <w:lang w:eastAsia="en-GB"/>
      </w:rPr>
      <mc:AlternateContent>
        <mc:Choice Requires="wps">
          <w:drawing>
            <wp:anchor distT="0" distB="0" distL="114300" distR="114300" simplePos="0" relativeHeight="251700224" behindDoc="0" locked="0" layoutInCell="1" allowOverlap="1" wp14:anchorId="17904646" wp14:editId="14E497DD">
              <wp:simplePos x="0" y="0"/>
              <wp:positionH relativeFrom="column">
                <wp:posOffset>-75565</wp:posOffset>
              </wp:positionH>
              <wp:positionV relativeFrom="paragraph">
                <wp:posOffset>314210</wp:posOffset>
              </wp:positionV>
              <wp:extent cx="2424545" cy="265142"/>
              <wp:effectExtent l="0" t="0" r="0" b="0"/>
              <wp:wrapNone/>
              <wp:docPr id="250" name="Text Box 250"/>
              <wp:cNvGraphicFramePr/>
              <a:graphic xmlns:a="http://schemas.openxmlformats.org/drawingml/2006/main">
                <a:graphicData uri="http://schemas.microsoft.com/office/word/2010/wordprocessingShape">
                  <wps:wsp>
                    <wps:cNvSpPr txBox="1"/>
                    <wps:spPr>
                      <a:xfrm>
                        <a:off x="0" y="0"/>
                        <a:ext cx="2424545" cy="265142"/>
                      </a:xfrm>
                      <a:prstGeom prst="rect">
                        <a:avLst/>
                      </a:prstGeom>
                      <a:noFill/>
                      <a:ln w="6350">
                        <a:noFill/>
                      </a:ln>
                    </wps:spPr>
                    <wps:txbx>
                      <w:txbxContent>
                        <w:p w14:paraId="08751614" w14:textId="77777777" w:rsidR="00830D25" w:rsidRPr="00C45B80" w:rsidRDefault="00830D25" w:rsidP="00C45B80">
                          <w:pPr>
                            <w:rPr>
                              <w:rFonts w:ascii="Helvetica Neue Light" w:hAnsi="Helvetica Neue Light"/>
                              <w:i/>
                              <w:iCs/>
                              <w:color w:val="FFFFFF" w:themeColor="background1"/>
                              <w:sz w:val="16"/>
                              <w:szCs w:val="16"/>
                            </w:rPr>
                          </w:pPr>
                          <w:r w:rsidRPr="00C45B80">
                            <w:rPr>
                              <w:rFonts w:ascii="Helvetica Neue Light" w:hAnsi="Helvetica Neue Light"/>
                              <w:color w:val="FFFFFF" w:themeColor="background1"/>
                              <w:sz w:val="16"/>
                              <w:szCs w:val="16"/>
                            </w:rPr>
                            <w:sym w:font="Symbol" w:char="F0D3"/>
                          </w:r>
                          <w:r w:rsidRPr="00C45B80">
                            <w:rPr>
                              <w:rFonts w:ascii="Helvetica Neue Light" w:hAnsi="Helvetica Neue Light"/>
                              <w:i/>
                              <w:iCs/>
                              <w:color w:val="FFFFFF" w:themeColor="background1"/>
                              <w:sz w:val="16"/>
                              <w:szCs w:val="16"/>
                            </w:rPr>
                            <w:t xml:space="preserve"> Centre for Economics and Business Research</w:t>
                          </w:r>
                        </w:p>
                        <w:p w14:paraId="0EDCBDEF" w14:textId="77777777" w:rsidR="00830D25" w:rsidRPr="00C45B80" w:rsidRDefault="00830D25" w:rsidP="00C45B80">
                          <w:pPr>
                            <w:rPr>
                              <w:color w:val="FFFFFF" w:themeColor="background1"/>
                              <w:sz w:val="21"/>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7904646" id="_x0000_t202" coordsize="21600,21600" o:spt="202" path="m,l,21600r21600,l21600,xe">
              <v:stroke joinstyle="miter"/>
              <v:path gradientshapeok="t" o:connecttype="rect"/>
            </v:shapetype>
            <v:shape id="Text Box 250" o:spid="_x0000_s1026" type="#_x0000_t202" style="position:absolute;margin-left:-5.95pt;margin-top:24.75pt;width:190.9pt;height:20.9pt;z-index:2517002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" filled="f" stroked="f" strokeweight=".5pt">
              <v:textbox>
                <w:txbxContent>
                  <w:p w14:paraId="08751614" w14:textId="77777777" w:rsidR="00830D25" w:rsidRPr="00C45B80" w:rsidRDefault="00830D25" w:rsidP="00C45B80">
                    <w:pPr>
                      <w:rPr>
                        <w:rFonts w:ascii="Helvetica Neue Light" w:hAnsi="Helvetica Neue Light"/>
                        <w:i/>
                        <w:iCs/>
                        <w:color w:val="FFFFFF" w:themeColor="background1"/>
                        <w:sz w:val="16"/>
                        <w:szCs w:val="16"/>
                      </w:rPr>
                    </w:pPr>
                    <w:r w:rsidRPr="00C45B80">
                      <w:rPr>
                        <w:rFonts w:ascii="Helvetica Neue Light" w:hAnsi="Helvetica Neue Light"/>
                        <w:color w:val="FFFFFF" w:themeColor="background1"/>
                        <w:sz w:val="16"/>
                        <w:szCs w:val="16"/>
                      </w:rPr>
                      <w:sym w:font="Symbol" w:char="F0D3"/>
                    </w:r>
                    <w:r w:rsidRPr="00C45B80">
                      <w:rPr>
                        <w:rFonts w:ascii="Helvetica Neue Light" w:hAnsi="Helvetica Neue Light"/>
                        <w:i/>
                        <w:iCs/>
                        <w:color w:val="FFFFFF" w:themeColor="background1"/>
                        <w:sz w:val="16"/>
                        <w:szCs w:val="16"/>
                      </w:rPr>
                      <w:t xml:space="preserve"> Centre for Economics and Business Research</w:t>
                    </w:r>
                  </w:p>
                  <w:p w14:paraId="0EDCBDEF" w14:textId="77777777" w:rsidR="00830D25" w:rsidRPr="00C45B80" w:rsidRDefault="00830D25" w:rsidP="00C45B80">
                    <w:pPr>
                      <w:rPr>
                        <w:color w:val="FFFFFF" w:themeColor="background1"/>
                        <w:sz w:val="21"/>
                        <w:szCs w:val="21"/>
                      </w:rPr>
                    </w:pP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65AF8" w14:textId="77777777" w:rsidR="00830D25" w:rsidRPr="00DA31EA" w:rsidRDefault="00830D25" w:rsidP="002C0012">
    <w:pPr>
      <w:pStyle w:val="Footer"/>
      <w:tabs>
        <w:tab w:val="clear" w:pos="4536"/>
        <w:tab w:val="clear" w:pos="9072"/>
        <w:tab w:val="left" w:pos="6840"/>
      </w:tabs>
      <w:rPr>
        <w:rFonts w:ascii="HelveticaNeueLT Std" w:hAnsi="HelveticaNeueLT Std"/>
        <w:sz w:val="16"/>
        <w:szCs w:val="16"/>
      </w:rPr>
    </w:pPr>
    <w:r>
      <w:rPr>
        <w:noProof/>
      </w:rPr>
      <w:drawing>
        <wp:anchor distT="0" distB="0" distL="114300" distR="114300" simplePos="0" relativeHeight="251716608" behindDoc="1" locked="0" layoutInCell="1" allowOverlap="1" wp14:anchorId="56340B93" wp14:editId="25ACE590">
          <wp:simplePos x="0" y="0"/>
          <wp:positionH relativeFrom="column">
            <wp:posOffset>-983673</wp:posOffset>
          </wp:positionH>
          <wp:positionV relativeFrom="paragraph">
            <wp:posOffset>375434</wp:posOffset>
          </wp:positionV>
          <wp:extent cx="7760278" cy="551972"/>
          <wp:effectExtent l="0" t="0" r="0" b="0"/>
          <wp:wrapNone/>
          <wp:docPr id="9257" name="Picture 9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Artboard 27 copy 12.png"/>
                  <pic:cNvPicPr/>
                </pic:nvPicPr>
                <pic:blipFill>
                  <a:blip r:embed="rId1">
                    <a:extLst>
                      <a:ext uri="{28A0092B-C50C-407E-A947-70E740481C1C}">
                        <a14:useLocalDpi xmlns:a14="http://schemas.microsoft.com/office/drawing/2010/main" val="0"/>
                      </a:ext>
                    </a:extLst>
                  </a:blip>
                  <a:stretch>
                    <a:fillRect/>
                  </a:stretch>
                </pic:blipFill>
                <pic:spPr>
                  <a:xfrm>
                    <a:off x="0" y="0"/>
                    <a:ext cx="7853179" cy="558580"/>
                  </a:xfrm>
                  <a:prstGeom prst="rect">
                    <a:avLst/>
                  </a:prstGeom>
                </pic:spPr>
              </pic:pic>
            </a:graphicData>
          </a:graphic>
          <wp14:sizeRelH relativeFrom="page">
            <wp14:pctWidth>0</wp14:pctWidth>
          </wp14:sizeRelH>
          <wp14:sizeRelV relativeFrom="page">
            <wp14:pctHeight>0</wp14:pctHeight>
          </wp14:sizeRelV>
        </wp:anchor>
      </w:drawing>
    </w:r>
  </w:p>
  <w:p w14:paraId="00FCCE4A" w14:textId="77777777" w:rsidR="00830D25" w:rsidRDefault="00830D25">
    <w:pPr>
      <w:pStyle w:val="Footer"/>
    </w:pPr>
    <w:r w:rsidRPr="001E3806">
      <w:rPr>
        <w:rFonts w:ascii="HelveticaNeueLT Std" w:hAnsi="HelveticaNeueLT Std"/>
        <w:noProof/>
        <w:sz w:val="16"/>
        <w:szCs w:val="16"/>
      </w:rPr>
      <w:drawing>
        <wp:anchor distT="0" distB="0" distL="114300" distR="114300" simplePos="0" relativeHeight="251718656" behindDoc="0" locked="0" layoutInCell="1" allowOverlap="1" wp14:anchorId="74EF9303" wp14:editId="25E7C1CB">
          <wp:simplePos x="0" y="0"/>
          <wp:positionH relativeFrom="column">
            <wp:posOffset>5281930</wp:posOffset>
          </wp:positionH>
          <wp:positionV relativeFrom="paragraph">
            <wp:posOffset>347380</wp:posOffset>
          </wp:positionV>
          <wp:extent cx="443001" cy="154959"/>
          <wp:effectExtent l="0" t="0" r="1905" b="0"/>
          <wp:wrapNone/>
          <wp:docPr id="9258" name="Google Shape;21;p38">
            <a:extLst xmlns:a="http://schemas.openxmlformats.org/drawingml/2006/main">
              <a:ext uri="{FF2B5EF4-FFF2-40B4-BE49-F238E27FC236}">
                <a16:creationId xmlns:a16="http://schemas.microsoft.com/office/drawing/2014/main" id="{35CD60BD-E3A3-3343-BC43-7C81A3473D05}"/>
              </a:ext>
            </a:extLst>
          </wp:docPr>
          <wp:cNvGraphicFramePr/>
          <a:graphic xmlns:a="http://schemas.openxmlformats.org/drawingml/2006/main">
            <a:graphicData uri="http://schemas.openxmlformats.org/drawingml/2006/picture">
              <pic:pic xmlns:pic="http://schemas.openxmlformats.org/drawingml/2006/picture">
                <pic:nvPicPr>
                  <pic:cNvPr id="7" name="Google Shape;21;p38">
                    <a:extLst>
                      <a:ext uri="{FF2B5EF4-FFF2-40B4-BE49-F238E27FC236}">
                        <a16:creationId xmlns:a16="http://schemas.microsoft.com/office/drawing/2014/main" id="{35CD60BD-E3A3-3343-BC43-7C81A3473D05}"/>
                      </a:ext>
                    </a:extLst>
                  </pic:cNvPr>
                  <pic:cNvPicPr preferRelativeResize="0"/>
                </pic:nvPicPr>
                <pic:blipFill rotWithShape="1">
                  <a:blip r:embed="rId2">
                    <a:alphaModFix/>
                    <a:extLst>
                      <a:ext uri="{28A0092B-C50C-407E-A947-70E740481C1C}">
                        <a14:useLocalDpi xmlns:a14="http://schemas.microsoft.com/office/drawing/2010/main" val="0"/>
                      </a:ext>
                    </a:extLst>
                  </a:blip>
                  <a:srcRect/>
                  <a:stretch/>
                </pic:blipFill>
                <pic:spPr>
                  <a:xfrm>
                    <a:off x="0" y="0"/>
                    <a:ext cx="443001" cy="154959"/>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elveticaNeueLT Std" w:hAnsi="HelveticaNeueLT Std"/>
        <w:i/>
        <w:iCs/>
        <w:noProof/>
        <w:color w:val="A6A6A6" w:themeColor="background1" w:themeShade="A6"/>
        <w:sz w:val="16"/>
        <w:szCs w:val="16"/>
      </w:rPr>
      <mc:AlternateContent>
        <mc:Choice Requires="wps">
          <w:drawing>
            <wp:anchor distT="0" distB="0" distL="114300" distR="114300" simplePos="0" relativeHeight="251717632" behindDoc="0" locked="0" layoutInCell="1" allowOverlap="1" wp14:anchorId="47024B35" wp14:editId="3E0C0E84">
              <wp:simplePos x="0" y="0"/>
              <wp:positionH relativeFrom="column">
                <wp:posOffset>-75565</wp:posOffset>
              </wp:positionH>
              <wp:positionV relativeFrom="paragraph">
                <wp:posOffset>314210</wp:posOffset>
              </wp:positionV>
              <wp:extent cx="2424545" cy="265142"/>
              <wp:effectExtent l="0" t="0" r="0" b="0"/>
              <wp:wrapNone/>
              <wp:docPr id="9265" name="Text Box 9265"/>
              <wp:cNvGraphicFramePr/>
              <a:graphic xmlns:a="http://schemas.openxmlformats.org/drawingml/2006/main">
                <a:graphicData uri="http://schemas.microsoft.com/office/word/2010/wordprocessingShape">
                  <wps:wsp>
                    <wps:cNvSpPr txBox="1"/>
                    <wps:spPr>
                      <a:xfrm>
                        <a:off x="0" y="0"/>
                        <a:ext cx="2424545" cy="265142"/>
                      </a:xfrm>
                      <a:prstGeom prst="rect">
                        <a:avLst/>
                      </a:prstGeom>
                      <a:noFill/>
                      <a:ln w="6350">
                        <a:noFill/>
                      </a:ln>
                    </wps:spPr>
                    <wps:txbx>
                      <w:txbxContent>
                        <w:p w14:paraId="53F57EA4" w14:textId="77777777" w:rsidR="00830D25" w:rsidRPr="00C45B80" w:rsidRDefault="00830D25" w:rsidP="00C45B80">
                          <w:pPr>
                            <w:rPr>
                              <w:rFonts w:ascii="Helvetica Neue Light" w:hAnsi="Helvetica Neue Light"/>
                              <w:i/>
                              <w:iCs/>
                              <w:color w:val="FFFFFF" w:themeColor="background1"/>
                              <w:sz w:val="16"/>
                              <w:szCs w:val="16"/>
                            </w:rPr>
                          </w:pPr>
                          <w:r w:rsidRPr="00C45B80">
                            <w:rPr>
                              <w:rFonts w:ascii="Helvetica Neue Light" w:hAnsi="Helvetica Neue Light"/>
                              <w:color w:val="FFFFFF" w:themeColor="background1"/>
                              <w:sz w:val="16"/>
                              <w:szCs w:val="16"/>
                            </w:rPr>
                            <w:sym w:font="Symbol" w:char="F0D3"/>
                          </w:r>
                          <w:r w:rsidRPr="00C45B80">
                            <w:rPr>
                              <w:rFonts w:ascii="Helvetica Neue Light" w:hAnsi="Helvetica Neue Light"/>
                              <w:i/>
                              <w:iCs/>
                              <w:color w:val="FFFFFF" w:themeColor="background1"/>
                              <w:sz w:val="16"/>
                              <w:szCs w:val="16"/>
                            </w:rPr>
                            <w:t xml:space="preserve"> Centre for Economics and Business Research</w:t>
                          </w:r>
                        </w:p>
                        <w:p w14:paraId="0C0841BB" w14:textId="77777777" w:rsidR="00830D25" w:rsidRPr="00C45B80" w:rsidRDefault="00830D25" w:rsidP="00C45B80">
                          <w:pPr>
                            <w:rPr>
                              <w:color w:val="FFFFFF" w:themeColor="background1"/>
                              <w:sz w:val="21"/>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7024B35" id="_x0000_t202" coordsize="21600,21600" o:spt="202" path="m,l,21600r21600,l21600,xe">
              <v:stroke joinstyle="miter"/>
              <v:path gradientshapeok="t" o:connecttype="rect"/>
            </v:shapetype>
            <v:shape id="Text Box 9265" o:spid="_x0000_s1027" type="#_x0000_t202" style="position:absolute;margin-left:-5.95pt;margin-top:24.75pt;width:190.9pt;height:20.9pt;z-index:2517176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" filled="f" stroked="f" strokeweight=".5pt">
              <v:textbox>
                <w:txbxContent>
                  <w:p w14:paraId="53F57EA4" w14:textId="77777777" w:rsidR="00830D25" w:rsidRPr="00C45B80" w:rsidRDefault="00830D25" w:rsidP="00C45B80">
                    <w:pPr>
                      <w:rPr>
                        <w:rFonts w:ascii="Helvetica Neue Light" w:hAnsi="Helvetica Neue Light"/>
                        <w:i/>
                        <w:iCs/>
                        <w:color w:val="FFFFFF" w:themeColor="background1"/>
                        <w:sz w:val="16"/>
                        <w:szCs w:val="16"/>
                      </w:rPr>
                    </w:pPr>
                    <w:r w:rsidRPr="00C45B80">
                      <w:rPr>
                        <w:rFonts w:ascii="Helvetica Neue Light" w:hAnsi="Helvetica Neue Light"/>
                        <w:color w:val="FFFFFF" w:themeColor="background1"/>
                        <w:sz w:val="16"/>
                        <w:szCs w:val="16"/>
                      </w:rPr>
                      <w:sym w:font="Symbol" w:char="F0D3"/>
                    </w:r>
                    <w:r w:rsidRPr="00C45B80">
                      <w:rPr>
                        <w:rFonts w:ascii="Helvetica Neue Light" w:hAnsi="Helvetica Neue Light"/>
                        <w:i/>
                        <w:iCs/>
                        <w:color w:val="FFFFFF" w:themeColor="background1"/>
                        <w:sz w:val="16"/>
                        <w:szCs w:val="16"/>
                      </w:rPr>
                      <w:t xml:space="preserve"> Centre for Economics and Business Research</w:t>
                    </w:r>
                  </w:p>
                  <w:p w14:paraId="0C0841BB" w14:textId="77777777" w:rsidR="00830D25" w:rsidRPr="00C45B80" w:rsidRDefault="00830D25" w:rsidP="00C45B80">
                    <w:pPr>
                      <w:rPr>
                        <w:color w:val="FFFFFF" w:themeColor="background1"/>
                        <w:sz w:val="21"/>
                        <w:szCs w:val="21"/>
                      </w:rPr>
                    </w:pP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440D2" w14:textId="77777777" w:rsidR="00830D25" w:rsidRPr="00DA31EA" w:rsidRDefault="00830D25" w:rsidP="002C0012">
    <w:pPr>
      <w:pStyle w:val="Footer"/>
      <w:tabs>
        <w:tab w:val="clear" w:pos="4536"/>
        <w:tab w:val="clear" w:pos="9072"/>
        <w:tab w:val="left" w:pos="6840"/>
      </w:tabs>
      <w:rPr>
        <w:rFonts w:ascii="HelveticaNeueLT Std" w:hAnsi="HelveticaNeueLT Std"/>
        <w:sz w:val="16"/>
        <w:szCs w:val="16"/>
      </w:rPr>
    </w:pPr>
    <w:r>
      <w:rPr>
        <w:noProof/>
      </w:rPr>
      <w:drawing>
        <wp:anchor distT="0" distB="0" distL="114300" distR="114300" simplePos="0" relativeHeight="251721728" behindDoc="1" locked="0" layoutInCell="1" allowOverlap="1" wp14:anchorId="6F95A4C2" wp14:editId="5ADE9944">
          <wp:simplePos x="0" y="0"/>
          <wp:positionH relativeFrom="column">
            <wp:posOffset>-983673</wp:posOffset>
          </wp:positionH>
          <wp:positionV relativeFrom="paragraph">
            <wp:posOffset>375434</wp:posOffset>
          </wp:positionV>
          <wp:extent cx="7760278" cy="551972"/>
          <wp:effectExtent l="0" t="0" r="0" b="0"/>
          <wp:wrapNone/>
          <wp:docPr id="357" name="Picture 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Artboard 27 copy 12.png"/>
                  <pic:cNvPicPr/>
                </pic:nvPicPr>
                <pic:blipFill>
                  <a:blip r:embed="rId1">
                    <a:extLst>
                      <a:ext uri="{28A0092B-C50C-407E-A947-70E740481C1C}">
                        <a14:useLocalDpi xmlns:a14="http://schemas.microsoft.com/office/drawing/2010/main" val="0"/>
                      </a:ext>
                    </a:extLst>
                  </a:blip>
                  <a:stretch>
                    <a:fillRect/>
                  </a:stretch>
                </pic:blipFill>
                <pic:spPr>
                  <a:xfrm>
                    <a:off x="0" y="0"/>
                    <a:ext cx="7853179" cy="558580"/>
                  </a:xfrm>
                  <a:prstGeom prst="rect">
                    <a:avLst/>
                  </a:prstGeom>
                </pic:spPr>
              </pic:pic>
            </a:graphicData>
          </a:graphic>
          <wp14:sizeRelH relativeFrom="page">
            <wp14:pctWidth>0</wp14:pctWidth>
          </wp14:sizeRelH>
          <wp14:sizeRelV relativeFrom="page">
            <wp14:pctHeight>0</wp14:pctHeight>
          </wp14:sizeRelV>
        </wp:anchor>
      </w:drawing>
    </w:r>
  </w:p>
  <w:p w14:paraId="6F878BD5" w14:textId="77777777" w:rsidR="00830D25" w:rsidRDefault="00830D25">
    <w:pPr>
      <w:pStyle w:val="Footer"/>
    </w:pPr>
    <w:r w:rsidRPr="001E3806">
      <w:rPr>
        <w:rFonts w:ascii="HelveticaNeueLT Std" w:hAnsi="HelveticaNeueLT Std"/>
        <w:noProof/>
        <w:sz w:val="16"/>
        <w:szCs w:val="16"/>
      </w:rPr>
      <w:drawing>
        <wp:anchor distT="0" distB="0" distL="114300" distR="114300" simplePos="0" relativeHeight="251723776" behindDoc="0" locked="0" layoutInCell="1" allowOverlap="1" wp14:anchorId="28AAAA09" wp14:editId="3649D710">
          <wp:simplePos x="0" y="0"/>
          <wp:positionH relativeFrom="column">
            <wp:posOffset>5281930</wp:posOffset>
          </wp:positionH>
          <wp:positionV relativeFrom="paragraph">
            <wp:posOffset>347380</wp:posOffset>
          </wp:positionV>
          <wp:extent cx="443001" cy="154959"/>
          <wp:effectExtent l="0" t="0" r="1905" b="0"/>
          <wp:wrapNone/>
          <wp:docPr id="359" name="Google Shape;21;p38">
            <a:extLst xmlns:a="http://schemas.openxmlformats.org/drawingml/2006/main">
              <a:ext uri="{FF2B5EF4-FFF2-40B4-BE49-F238E27FC236}">
                <a16:creationId xmlns:a16="http://schemas.microsoft.com/office/drawing/2014/main" id="{35CD60BD-E3A3-3343-BC43-7C81A3473D05}"/>
              </a:ext>
            </a:extLst>
          </wp:docPr>
          <wp:cNvGraphicFramePr/>
          <a:graphic xmlns:a="http://schemas.openxmlformats.org/drawingml/2006/main">
            <a:graphicData uri="http://schemas.openxmlformats.org/drawingml/2006/picture">
              <pic:pic xmlns:pic="http://schemas.openxmlformats.org/drawingml/2006/picture">
                <pic:nvPicPr>
                  <pic:cNvPr id="7" name="Google Shape;21;p38">
                    <a:extLst>
                      <a:ext uri="{FF2B5EF4-FFF2-40B4-BE49-F238E27FC236}">
                        <a16:creationId xmlns:a16="http://schemas.microsoft.com/office/drawing/2014/main" id="{35CD60BD-E3A3-3343-BC43-7C81A3473D05}"/>
                      </a:ext>
                    </a:extLst>
                  </pic:cNvPr>
                  <pic:cNvPicPr preferRelativeResize="0"/>
                </pic:nvPicPr>
                <pic:blipFill rotWithShape="1">
                  <a:blip r:embed="rId2">
                    <a:alphaModFix/>
                    <a:extLst>
                      <a:ext uri="{28A0092B-C50C-407E-A947-70E740481C1C}">
                        <a14:useLocalDpi xmlns:a14="http://schemas.microsoft.com/office/drawing/2010/main" val="0"/>
                      </a:ext>
                    </a:extLst>
                  </a:blip>
                  <a:srcRect/>
                  <a:stretch/>
                </pic:blipFill>
                <pic:spPr>
                  <a:xfrm>
                    <a:off x="0" y="0"/>
                    <a:ext cx="443001" cy="154959"/>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elveticaNeueLT Std" w:hAnsi="HelveticaNeueLT Std"/>
        <w:i/>
        <w:iCs/>
        <w:noProof/>
        <w:color w:val="A6A6A6" w:themeColor="background1" w:themeShade="A6"/>
        <w:sz w:val="16"/>
        <w:szCs w:val="16"/>
      </w:rPr>
      <mc:AlternateContent>
        <mc:Choice Requires="wps">
          <w:drawing>
            <wp:anchor distT="0" distB="0" distL="114300" distR="114300" simplePos="0" relativeHeight="251722752" behindDoc="0" locked="0" layoutInCell="1" allowOverlap="1" wp14:anchorId="49CC58B4" wp14:editId="3F73CDB4">
              <wp:simplePos x="0" y="0"/>
              <wp:positionH relativeFrom="column">
                <wp:posOffset>-75565</wp:posOffset>
              </wp:positionH>
              <wp:positionV relativeFrom="paragraph">
                <wp:posOffset>314210</wp:posOffset>
              </wp:positionV>
              <wp:extent cx="2424545" cy="265142"/>
              <wp:effectExtent l="0" t="0" r="0" b="0"/>
              <wp:wrapNone/>
              <wp:docPr id="195" name="Text Box 195"/>
              <wp:cNvGraphicFramePr/>
              <a:graphic xmlns:a="http://schemas.openxmlformats.org/drawingml/2006/main">
                <a:graphicData uri="http://schemas.microsoft.com/office/word/2010/wordprocessingShape">
                  <wps:wsp>
                    <wps:cNvSpPr txBox="1"/>
                    <wps:spPr>
                      <a:xfrm>
                        <a:off x="0" y="0"/>
                        <a:ext cx="2424545" cy="265142"/>
                      </a:xfrm>
                      <a:prstGeom prst="rect">
                        <a:avLst/>
                      </a:prstGeom>
                      <a:noFill/>
                      <a:ln w="6350">
                        <a:noFill/>
                      </a:ln>
                    </wps:spPr>
                    <wps:txbx>
                      <w:txbxContent>
                        <w:p w14:paraId="1098EC01" w14:textId="77777777" w:rsidR="00830D25" w:rsidRPr="00C45B80" w:rsidRDefault="00830D25" w:rsidP="00C45B80">
                          <w:pPr>
                            <w:rPr>
                              <w:rFonts w:ascii="Helvetica Neue Light" w:hAnsi="Helvetica Neue Light"/>
                              <w:i/>
                              <w:iCs/>
                              <w:color w:val="FFFFFF" w:themeColor="background1"/>
                              <w:sz w:val="16"/>
                              <w:szCs w:val="16"/>
                            </w:rPr>
                          </w:pPr>
                          <w:r w:rsidRPr="00C45B80">
                            <w:rPr>
                              <w:rFonts w:ascii="Helvetica Neue Light" w:hAnsi="Helvetica Neue Light"/>
                              <w:color w:val="FFFFFF" w:themeColor="background1"/>
                              <w:sz w:val="16"/>
                              <w:szCs w:val="16"/>
                            </w:rPr>
                            <w:sym w:font="Symbol" w:char="F0D3"/>
                          </w:r>
                          <w:r w:rsidRPr="00C45B80">
                            <w:rPr>
                              <w:rFonts w:ascii="Helvetica Neue Light" w:hAnsi="Helvetica Neue Light"/>
                              <w:i/>
                              <w:iCs/>
                              <w:color w:val="FFFFFF" w:themeColor="background1"/>
                              <w:sz w:val="16"/>
                              <w:szCs w:val="16"/>
                            </w:rPr>
                            <w:t xml:space="preserve"> Centre for Economics and Business Research</w:t>
                          </w:r>
                        </w:p>
                        <w:p w14:paraId="55A2AB6B" w14:textId="77777777" w:rsidR="00830D25" w:rsidRPr="00C45B80" w:rsidRDefault="00830D25" w:rsidP="00C45B80">
                          <w:pPr>
                            <w:rPr>
                              <w:color w:val="FFFFFF" w:themeColor="background1"/>
                              <w:sz w:val="21"/>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9CC58B4" id="_x0000_t202" coordsize="21600,21600" o:spt="202" path="m,l,21600r21600,l21600,xe">
              <v:stroke joinstyle="miter"/>
              <v:path gradientshapeok="t" o:connecttype="rect"/>
            </v:shapetype>
            <v:shape id="Text Box 195" o:spid="_x0000_s1028" type="#_x0000_t202" style="position:absolute;margin-left:-5.95pt;margin-top:24.75pt;width:190.9pt;height:20.9pt;z-index:251722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" filled="f" stroked="f" strokeweight=".5pt">
              <v:textbox>
                <w:txbxContent>
                  <w:p w14:paraId="1098EC01" w14:textId="77777777" w:rsidR="00830D25" w:rsidRPr="00C45B80" w:rsidRDefault="00830D25" w:rsidP="00C45B80">
                    <w:pPr>
                      <w:rPr>
                        <w:rFonts w:ascii="Helvetica Neue Light" w:hAnsi="Helvetica Neue Light"/>
                        <w:i/>
                        <w:iCs/>
                        <w:color w:val="FFFFFF" w:themeColor="background1"/>
                        <w:sz w:val="16"/>
                        <w:szCs w:val="16"/>
                      </w:rPr>
                    </w:pPr>
                    <w:r w:rsidRPr="00C45B80">
                      <w:rPr>
                        <w:rFonts w:ascii="Helvetica Neue Light" w:hAnsi="Helvetica Neue Light"/>
                        <w:color w:val="FFFFFF" w:themeColor="background1"/>
                        <w:sz w:val="16"/>
                        <w:szCs w:val="16"/>
                      </w:rPr>
                      <w:sym w:font="Symbol" w:char="F0D3"/>
                    </w:r>
                    <w:r w:rsidRPr="00C45B80">
                      <w:rPr>
                        <w:rFonts w:ascii="Helvetica Neue Light" w:hAnsi="Helvetica Neue Light"/>
                        <w:i/>
                        <w:iCs/>
                        <w:color w:val="FFFFFF" w:themeColor="background1"/>
                        <w:sz w:val="16"/>
                        <w:szCs w:val="16"/>
                      </w:rPr>
                      <w:t xml:space="preserve"> Centre for Economics and Business Research</w:t>
                    </w:r>
                  </w:p>
                  <w:p w14:paraId="55A2AB6B" w14:textId="77777777" w:rsidR="00830D25" w:rsidRPr="00C45B80" w:rsidRDefault="00830D25" w:rsidP="00C45B80">
                    <w:pPr>
                      <w:rPr>
                        <w:color w:val="FFFFFF" w:themeColor="background1"/>
                        <w:sz w:val="21"/>
                        <w:szCs w:val="21"/>
                      </w:rPr>
                    </w:pPr>
                  </w:p>
                </w:txbxContent>
              </v:textbox>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5203F" w14:textId="77777777" w:rsidR="00830D25" w:rsidRPr="00DA31EA" w:rsidRDefault="00830D25" w:rsidP="002C0012">
    <w:pPr>
      <w:pStyle w:val="Footer"/>
      <w:tabs>
        <w:tab w:val="clear" w:pos="4536"/>
        <w:tab w:val="clear" w:pos="9072"/>
        <w:tab w:val="left" w:pos="6840"/>
      </w:tabs>
      <w:rPr>
        <w:rFonts w:ascii="HelveticaNeueLT Std" w:hAnsi="HelveticaNeueLT Std"/>
        <w:sz w:val="16"/>
        <w:szCs w:val="16"/>
      </w:rPr>
    </w:pPr>
    <w:r>
      <w:rPr>
        <w:noProof/>
        <w:lang w:eastAsia="en-GB"/>
      </w:rPr>
      <w:drawing>
        <wp:anchor distT="0" distB="0" distL="114300" distR="114300" simplePos="0" relativeHeight="251710464" behindDoc="1" locked="0" layoutInCell="1" allowOverlap="1" wp14:anchorId="2391F243" wp14:editId="3107C08B">
          <wp:simplePos x="0" y="0"/>
          <wp:positionH relativeFrom="column">
            <wp:posOffset>-983673</wp:posOffset>
          </wp:positionH>
          <wp:positionV relativeFrom="paragraph">
            <wp:posOffset>375434</wp:posOffset>
          </wp:positionV>
          <wp:extent cx="7760278" cy="551972"/>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Artboard 27 copy 12.png"/>
                  <pic:cNvPicPr/>
                </pic:nvPicPr>
                <pic:blipFill>
                  <a:blip r:embed="rId1">
                    <a:extLst>
                      <a:ext uri="{28A0092B-C50C-407E-A947-70E740481C1C}">
                        <a14:useLocalDpi xmlns:a14="http://schemas.microsoft.com/office/drawing/2010/main" val="0"/>
                      </a:ext>
                    </a:extLst>
                  </a:blip>
                  <a:stretch>
                    <a:fillRect/>
                  </a:stretch>
                </pic:blipFill>
                <pic:spPr>
                  <a:xfrm>
                    <a:off x="0" y="0"/>
                    <a:ext cx="7853179" cy="558580"/>
                  </a:xfrm>
                  <a:prstGeom prst="rect">
                    <a:avLst/>
                  </a:prstGeom>
                </pic:spPr>
              </pic:pic>
            </a:graphicData>
          </a:graphic>
          <wp14:sizeRelH relativeFrom="page">
            <wp14:pctWidth>0</wp14:pctWidth>
          </wp14:sizeRelH>
          <wp14:sizeRelV relativeFrom="page">
            <wp14:pctHeight>0</wp14:pctHeight>
          </wp14:sizeRelV>
        </wp:anchor>
      </w:drawing>
    </w:r>
  </w:p>
  <w:p w14:paraId="3842D440" w14:textId="77777777" w:rsidR="00830D25" w:rsidRDefault="00830D25">
    <w:pPr>
      <w:pStyle w:val="Footer"/>
    </w:pPr>
    <w:r w:rsidRPr="001E3806">
      <w:rPr>
        <w:rFonts w:ascii="HelveticaNeueLT Std" w:hAnsi="HelveticaNeueLT Std"/>
        <w:noProof/>
        <w:sz w:val="16"/>
        <w:szCs w:val="16"/>
        <w:lang w:eastAsia="en-GB"/>
      </w:rPr>
      <w:drawing>
        <wp:anchor distT="0" distB="0" distL="114300" distR="114300" simplePos="0" relativeHeight="251712512" behindDoc="0" locked="0" layoutInCell="1" allowOverlap="1" wp14:anchorId="11726F6D" wp14:editId="6E295909">
          <wp:simplePos x="0" y="0"/>
          <wp:positionH relativeFrom="column">
            <wp:posOffset>5281930</wp:posOffset>
          </wp:positionH>
          <wp:positionV relativeFrom="paragraph">
            <wp:posOffset>347380</wp:posOffset>
          </wp:positionV>
          <wp:extent cx="443001" cy="154959"/>
          <wp:effectExtent l="0" t="0" r="1905" b="0"/>
          <wp:wrapNone/>
          <wp:docPr id="13" name="Google Shape;21;p38">
            <a:extLst xmlns:a="http://schemas.openxmlformats.org/drawingml/2006/main">
              <a:ext uri="{FF2B5EF4-FFF2-40B4-BE49-F238E27FC236}">
                <a16:creationId xmlns:a16="http://schemas.microsoft.com/office/drawing/2014/main" id="{35CD60BD-E3A3-3343-BC43-7C81A3473D05}"/>
              </a:ext>
            </a:extLst>
          </wp:docPr>
          <wp:cNvGraphicFramePr/>
          <a:graphic xmlns:a="http://schemas.openxmlformats.org/drawingml/2006/main">
            <a:graphicData uri="http://schemas.openxmlformats.org/drawingml/2006/picture">
              <pic:pic xmlns:pic="http://schemas.openxmlformats.org/drawingml/2006/picture">
                <pic:nvPicPr>
                  <pic:cNvPr id="7" name="Google Shape;21;p38">
                    <a:extLst>
                      <a:ext uri="{FF2B5EF4-FFF2-40B4-BE49-F238E27FC236}">
                        <a16:creationId xmlns:a16="http://schemas.microsoft.com/office/drawing/2014/main" id="{35CD60BD-E3A3-3343-BC43-7C81A3473D05}"/>
                      </a:ext>
                    </a:extLst>
                  </pic:cNvPr>
                  <pic:cNvPicPr preferRelativeResize="0"/>
                </pic:nvPicPr>
                <pic:blipFill rotWithShape="1">
                  <a:blip r:embed="rId2">
                    <a:alphaModFix/>
                    <a:extLst>
                      <a:ext uri="{28A0092B-C50C-407E-A947-70E740481C1C}">
                        <a14:useLocalDpi xmlns:a14="http://schemas.microsoft.com/office/drawing/2010/main" val="0"/>
                      </a:ext>
                    </a:extLst>
                  </a:blip>
                  <a:srcRect/>
                  <a:stretch/>
                </pic:blipFill>
                <pic:spPr>
                  <a:xfrm>
                    <a:off x="0" y="0"/>
                    <a:ext cx="443001" cy="154959"/>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elveticaNeueLT Std" w:hAnsi="HelveticaNeueLT Std"/>
        <w:i/>
        <w:iCs/>
        <w:noProof/>
        <w:color w:val="A6A6A6" w:themeColor="background1" w:themeShade="A6"/>
        <w:sz w:val="16"/>
        <w:szCs w:val="16"/>
        <w:lang w:eastAsia="en-GB"/>
      </w:rPr>
      <mc:AlternateContent>
        <mc:Choice Requires="wps">
          <w:drawing>
            <wp:anchor distT="0" distB="0" distL="114300" distR="114300" simplePos="0" relativeHeight="251711488" behindDoc="0" locked="0" layoutInCell="1" allowOverlap="1" wp14:anchorId="4349ABD0" wp14:editId="7C511E41">
              <wp:simplePos x="0" y="0"/>
              <wp:positionH relativeFrom="column">
                <wp:posOffset>-75565</wp:posOffset>
              </wp:positionH>
              <wp:positionV relativeFrom="paragraph">
                <wp:posOffset>314210</wp:posOffset>
              </wp:positionV>
              <wp:extent cx="2424545" cy="265142"/>
              <wp:effectExtent l="0" t="0" r="0" b="0"/>
              <wp:wrapNone/>
              <wp:docPr id="22" name="Text Box 22"/>
              <wp:cNvGraphicFramePr/>
              <a:graphic xmlns:a="http://schemas.openxmlformats.org/drawingml/2006/main">
                <a:graphicData uri="http://schemas.microsoft.com/office/word/2010/wordprocessingShape">
                  <wps:wsp>
                    <wps:cNvSpPr txBox="1"/>
                    <wps:spPr>
                      <a:xfrm>
                        <a:off x="0" y="0"/>
                        <a:ext cx="2424545" cy="265142"/>
                      </a:xfrm>
                      <a:prstGeom prst="rect">
                        <a:avLst/>
                      </a:prstGeom>
                      <a:noFill/>
                      <a:ln w="6350">
                        <a:noFill/>
                      </a:ln>
                    </wps:spPr>
                    <wps:txbx>
                      <w:txbxContent>
                        <w:p w14:paraId="56E91C70" w14:textId="77777777" w:rsidR="00830D25" w:rsidRPr="00C45B80" w:rsidRDefault="00830D25" w:rsidP="00C45B80">
                          <w:pPr>
                            <w:rPr>
                              <w:rFonts w:ascii="Helvetica Neue Light" w:hAnsi="Helvetica Neue Light"/>
                              <w:i/>
                              <w:iCs/>
                              <w:color w:val="FFFFFF" w:themeColor="background1"/>
                              <w:sz w:val="16"/>
                              <w:szCs w:val="16"/>
                            </w:rPr>
                          </w:pPr>
                          <w:r w:rsidRPr="00C45B80">
                            <w:rPr>
                              <w:rFonts w:ascii="Helvetica Neue Light" w:hAnsi="Helvetica Neue Light"/>
                              <w:color w:val="FFFFFF" w:themeColor="background1"/>
                              <w:sz w:val="16"/>
                              <w:szCs w:val="16"/>
                            </w:rPr>
                            <w:sym w:font="Symbol" w:char="F0D3"/>
                          </w:r>
                          <w:r w:rsidRPr="00C45B80">
                            <w:rPr>
                              <w:rFonts w:ascii="Helvetica Neue Light" w:hAnsi="Helvetica Neue Light"/>
                              <w:i/>
                              <w:iCs/>
                              <w:color w:val="FFFFFF" w:themeColor="background1"/>
                              <w:sz w:val="16"/>
                              <w:szCs w:val="16"/>
                            </w:rPr>
                            <w:t xml:space="preserve"> Centre for Economics and Business Research</w:t>
                          </w:r>
                        </w:p>
                        <w:p w14:paraId="47F4C5FC" w14:textId="77777777" w:rsidR="00830D25" w:rsidRPr="00C45B80" w:rsidRDefault="00830D25" w:rsidP="00C45B80">
                          <w:pPr>
                            <w:rPr>
                              <w:color w:val="FFFFFF" w:themeColor="background1"/>
                              <w:sz w:val="21"/>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349ABD0" id="_x0000_t202" coordsize="21600,21600" o:spt="202" path="m,l,21600r21600,l21600,xe">
              <v:stroke joinstyle="miter"/>
              <v:path gradientshapeok="t" o:connecttype="rect"/>
            </v:shapetype>
            <v:shape id="Text Box 22" o:spid="_x0000_s1029" type="#_x0000_t202" style="position:absolute;margin-left:-5.95pt;margin-top:24.75pt;width:190.9pt;height:20.9pt;z-index:2517114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" filled="f" stroked="f" strokeweight=".5pt">
              <v:textbox>
                <w:txbxContent>
                  <w:p w14:paraId="56E91C70" w14:textId="77777777" w:rsidR="00830D25" w:rsidRPr="00C45B80" w:rsidRDefault="00830D25" w:rsidP="00C45B80">
                    <w:pPr>
                      <w:rPr>
                        <w:rFonts w:ascii="Helvetica Neue Light" w:hAnsi="Helvetica Neue Light"/>
                        <w:i/>
                        <w:iCs/>
                        <w:color w:val="FFFFFF" w:themeColor="background1"/>
                        <w:sz w:val="16"/>
                        <w:szCs w:val="16"/>
                      </w:rPr>
                    </w:pPr>
                    <w:r w:rsidRPr="00C45B80">
                      <w:rPr>
                        <w:rFonts w:ascii="Helvetica Neue Light" w:hAnsi="Helvetica Neue Light"/>
                        <w:color w:val="FFFFFF" w:themeColor="background1"/>
                        <w:sz w:val="16"/>
                        <w:szCs w:val="16"/>
                      </w:rPr>
                      <w:sym w:font="Symbol" w:char="F0D3"/>
                    </w:r>
                    <w:r w:rsidRPr="00C45B80">
                      <w:rPr>
                        <w:rFonts w:ascii="Helvetica Neue Light" w:hAnsi="Helvetica Neue Light"/>
                        <w:i/>
                        <w:iCs/>
                        <w:color w:val="FFFFFF" w:themeColor="background1"/>
                        <w:sz w:val="16"/>
                        <w:szCs w:val="16"/>
                      </w:rPr>
                      <w:t xml:space="preserve"> Centre for Economics and Business Research</w:t>
                    </w:r>
                  </w:p>
                  <w:p w14:paraId="47F4C5FC" w14:textId="77777777" w:rsidR="00830D25" w:rsidRPr="00C45B80" w:rsidRDefault="00830D25" w:rsidP="00C45B80">
                    <w:pPr>
                      <w:rPr>
                        <w:color w:val="FFFFFF" w:themeColor="background1"/>
                        <w:sz w:val="21"/>
                        <w:szCs w:val="21"/>
                      </w:rPr>
                    </w:pPr>
                  </w:p>
                </w:txbxContent>
              </v:textbox>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40233" w14:textId="77777777" w:rsidR="00830D25" w:rsidRPr="00DA31EA" w:rsidRDefault="00830D25" w:rsidP="00DA31EA">
    <w:pPr>
      <w:pStyle w:val="Footer"/>
      <w:tabs>
        <w:tab w:val="clear" w:pos="4536"/>
        <w:tab w:val="clear" w:pos="9072"/>
        <w:tab w:val="left" w:pos="6840"/>
      </w:tabs>
      <w:rPr>
        <w:rFonts w:ascii="HelveticaNeueLT Std" w:hAnsi="HelveticaNeueLT Std"/>
        <w:sz w:val="16"/>
        <w:szCs w:val="16"/>
      </w:rPr>
    </w:pPr>
    <w:r w:rsidRPr="00DA31EA">
      <w:rPr>
        <w:rFonts w:ascii="HelveticaNeueLT Std" w:hAnsi="HelveticaNeueLT Std" w:cstheme="minorHAnsi"/>
        <w:noProof/>
        <w:sz w:val="16"/>
        <w:szCs w:val="16"/>
        <w:lang w:eastAsia="en-GB"/>
      </w:rPr>
      <w:drawing>
        <wp:anchor distT="0" distB="0" distL="114300" distR="114300" simplePos="0" relativeHeight="251664384" behindDoc="0" locked="1" layoutInCell="1" allowOverlap="1" wp14:anchorId="038ECF64" wp14:editId="18B6E401">
          <wp:simplePos x="0" y="0"/>
          <wp:positionH relativeFrom="page">
            <wp:posOffset>6336665</wp:posOffset>
          </wp:positionH>
          <wp:positionV relativeFrom="page">
            <wp:posOffset>10318750</wp:posOffset>
          </wp:positionV>
          <wp:extent cx="431800" cy="154305"/>
          <wp:effectExtent l="0" t="0" r="6350" b="0"/>
          <wp:wrapNone/>
          <wp:docPr id="9268" name="Picture 9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br_white_logo_tex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31800" cy="154305"/>
                  </a:xfrm>
                  <a:prstGeom prst="rect">
                    <a:avLst/>
                  </a:prstGeom>
                </pic:spPr>
              </pic:pic>
            </a:graphicData>
          </a:graphic>
          <wp14:sizeRelH relativeFrom="page">
            <wp14:pctWidth>0</wp14:pctWidth>
          </wp14:sizeRelH>
          <wp14:sizeRelV relativeFrom="page">
            <wp14:pctHeight>0</wp14:pctHeight>
          </wp14:sizeRelV>
        </wp:anchor>
      </w:drawing>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F0E52" w14:textId="77777777" w:rsidR="00830D25" w:rsidRDefault="00830D25" w:rsidP="008B0A02">
    <w:pPr>
      <w:pStyle w:val="Footer"/>
    </w:pPr>
    <w:r>
      <w:rPr>
        <w:noProof/>
        <w:lang w:eastAsia="en-GB"/>
      </w:rPr>
      <w:drawing>
        <wp:anchor distT="0" distB="0" distL="114300" distR="114300" simplePos="0" relativeHeight="251663360" behindDoc="0" locked="1" layoutInCell="1" allowOverlap="1" wp14:anchorId="64F754DD" wp14:editId="7F7F9CDD">
          <wp:simplePos x="0" y="0"/>
          <wp:positionH relativeFrom="page">
            <wp:posOffset>5796915</wp:posOffset>
          </wp:positionH>
          <wp:positionV relativeFrom="page">
            <wp:posOffset>9541510</wp:posOffset>
          </wp:positionV>
          <wp:extent cx="986400" cy="345600"/>
          <wp:effectExtent l="0" t="0" r="4445" b="0"/>
          <wp:wrapNone/>
          <wp:docPr id="9269" name="Picture 9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br logotyp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86400" cy="3456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6CC79D" w14:textId="77777777" w:rsidR="002F31A7" w:rsidRDefault="002F31A7" w:rsidP="00717C6C"/>
    <w:p w14:paraId="5A3294DF" w14:textId="77777777" w:rsidR="002F31A7" w:rsidRDefault="002F31A7"/>
  </w:footnote>
  <w:footnote w:type="continuationSeparator" w:id="0">
    <w:p w14:paraId="6E30E350" w14:textId="77777777" w:rsidR="002F31A7" w:rsidRDefault="002F31A7" w:rsidP="00717C6C">
      <w:r>
        <w:continuationSeparator/>
      </w:r>
    </w:p>
    <w:p w14:paraId="648D68B9" w14:textId="77777777" w:rsidR="002F31A7" w:rsidRDefault="002F31A7"/>
  </w:footnote>
  <w:footnote w:id="1">
    <w:p w14:paraId="20CC359C" w14:textId="77777777" w:rsidR="00502866" w:rsidRDefault="00502866" w:rsidP="00502866">
      <w:pPr>
        <w:pStyle w:val="FootnoteText"/>
        <w:spacing w:after="0"/>
        <w:jc w:val="both"/>
      </w:pPr>
      <w:r>
        <w:rPr>
          <w:rStyle w:val="FootnoteReference"/>
        </w:rPr>
        <w:footnoteRef/>
      </w:r>
      <w:r>
        <w:t xml:space="preserve"> </w:t>
      </w:r>
      <w:r w:rsidRPr="00697C9B">
        <w:rPr>
          <w:sz w:val="18"/>
          <w:szCs w:val="16"/>
        </w:rPr>
        <w:t xml:space="preserve">Note that LEP was initially introduced to the LEIC under the name “NEW </w:t>
      </w:r>
      <w:proofErr w:type="gramStart"/>
      <w:r w:rsidRPr="00697C9B">
        <w:rPr>
          <w:sz w:val="18"/>
          <w:szCs w:val="16"/>
        </w:rPr>
        <w:t>South East</w:t>
      </w:r>
      <w:proofErr w:type="gramEnd"/>
      <w:r w:rsidRPr="00697C9B">
        <w:rPr>
          <w:sz w:val="18"/>
          <w:szCs w:val="16"/>
        </w:rPr>
        <w:t xml:space="preserve"> Midlands”. The name has since been updated and is simply </w:t>
      </w:r>
      <w:r>
        <w:rPr>
          <w:sz w:val="18"/>
          <w:szCs w:val="16"/>
        </w:rPr>
        <w:t xml:space="preserve">referred to as </w:t>
      </w:r>
      <w:r w:rsidRPr="00697C9B">
        <w:rPr>
          <w:sz w:val="18"/>
          <w:szCs w:val="16"/>
        </w:rPr>
        <w:t>“</w:t>
      </w:r>
      <w:proofErr w:type="gramStart"/>
      <w:r w:rsidRPr="00697C9B">
        <w:rPr>
          <w:sz w:val="18"/>
          <w:szCs w:val="16"/>
        </w:rPr>
        <w:t>South East</w:t>
      </w:r>
      <w:proofErr w:type="gramEnd"/>
      <w:r w:rsidRPr="00697C9B">
        <w:rPr>
          <w:sz w:val="18"/>
          <w:szCs w:val="16"/>
        </w:rPr>
        <w:t xml:space="preserve"> Midlands” now.</w:t>
      </w:r>
    </w:p>
  </w:footnote>
  <w:footnote w:id="2">
    <w:p w14:paraId="60C99CCD" w14:textId="77777777" w:rsidR="00830D25" w:rsidRDefault="00830D25" w:rsidP="00502866">
      <w:pPr>
        <w:pStyle w:val="FootnoteText"/>
        <w:spacing w:after="0"/>
        <w:jc w:val="both"/>
      </w:pPr>
      <w:r>
        <w:rPr>
          <w:rStyle w:val="FootnoteReference"/>
        </w:rPr>
        <w:footnoteRef/>
      </w:r>
      <w:r>
        <w:t xml:space="preserve"> </w:t>
      </w:r>
      <w:r w:rsidRPr="00502866">
        <w:rPr>
          <w:sz w:val="18"/>
          <w:szCs w:val="16"/>
        </w:rPr>
        <w:t>GVA or gross value added is a measure of the net value of goods and services which, in the national accounts, is the value of industrial output less intermediate consumption.  That is, the value of what is produced less the value of the intermediate goods and services used as inputs to produce it.  GVA is also commonly known as income from production and is distributed in three directions – to employees, to shareholders and to government. GVA is linked as a measurement to GDP – both being a measure of economic output. That relationship is (GVA + Taxes on products - Subsidies on products = GDP).  Because taxes and subsidies on individual product categories are only available at the whole economy level, GVA tends to be used for measuring things like gross regional domestic product and other measures of economic output of entities that are smaller than the whole economy, such as Housing Associations.</w:t>
      </w:r>
      <w:r w:rsidRPr="00BD7F46">
        <w:rPr>
          <w:sz w:val="18"/>
          <w:szCs w:val="14"/>
        </w:rPr>
        <w:t xml:space="preserve"> </w:t>
      </w:r>
    </w:p>
  </w:footnote>
  <w:footnote w:id="3">
    <w:p w14:paraId="319147C1" w14:textId="77777777" w:rsidR="00830D25" w:rsidRPr="00555E8D" w:rsidRDefault="00830D25" w:rsidP="00502866">
      <w:pPr>
        <w:pStyle w:val="FootnoteText"/>
        <w:spacing w:after="0"/>
        <w:jc w:val="both"/>
        <w:rPr>
          <w:lang w:val="en-US"/>
        </w:rPr>
      </w:pPr>
      <w:r>
        <w:rPr>
          <w:rStyle w:val="FootnoteReference"/>
        </w:rPr>
        <w:footnoteRef/>
      </w:r>
      <w:r>
        <w:t xml:space="preserve"> </w:t>
      </w:r>
      <w:r w:rsidRPr="00502866">
        <w:rPr>
          <w:sz w:val="18"/>
          <w:szCs w:val="16"/>
        </w:rPr>
        <w:t xml:space="preserve">Note that a Type I matrix multiplier captures direct and indirect impacts, whilst the Type II includes direct, </w:t>
      </w:r>
      <w:proofErr w:type="gramStart"/>
      <w:r w:rsidRPr="00502866">
        <w:rPr>
          <w:sz w:val="18"/>
          <w:szCs w:val="16"/>
        </w:rPr>
        <w:t>indirect</w:t>
      </w:r>
      <w:proofErr w:type="gramEnd"/>
      <w:r w:rsidRPr="00502866">
        <w:rPr>
          <w:sz w:val="18"/>
          <w:szCs w:val="16"/>
        </w:rPr>
        <w:t xml:space="preserve"> and induced impacts.</w:t>
      </w:r>
      <w:r>
        <w:rPr>
          <w:rFonts w:cs="Calibri"/>
        </w:rPr>
        <w:t xml:space="preserve"> </w:t>
      </w:r>
    </w:p>
  </w:footnote>
  <w:footnote w:id="4">
    <w:p w14:paraId="7E262DE2" w14:textId="77777777" w:rsidR="00830D25" w:rsidRDefault="00830D25" w:rsidP="00502866">
      <w:pPr>
        <w:pStyle w:val="FootnoteText"/>
        <w:spacing w:after="0"/>
        <w:jc w:val="both"/>
      </w:pPr>
      <w:r>
        <w:rPr>
          <w:rStyle w:val="FootnoteReference"/>
        </w:rPr>
        <w:footnoteRef/>
      </w:r>
      <w:r>
        <w:t xml:space="preserve"> </w:t>
      </w:r>
      <w:r w:rsidRPr="00502866">
        <w:rPr>
          <w:sz w:val="18"/>
          <w:szCs w:val="16"/>
        </w:rPr>
        <w:t>Previously, we used estimates from the ONS regarding the full-time and part-time split of employment to show HA employment on a full-time equivalent (FTE) basis. However, this is arguably a superfluous step that only renders the LEIC unnecessarily inaccurate. Furthermore, given wider developments in the labour market, we have moved our new supply-use and input-output models away from using FTEs to using ‘people in jobs’ instead.</w:t>
      </w:r>
      <w:r>
        <w:rPr>
          <w:rFonts w:cs="Calibri"/>
        </w:rPr>
        <w:t xml:space="preserve"> </w:t>
      </w:r>
    </w:p>
  </w:footnote>
  <w:footnote w:id="5">
    <w:p w14:paraId="7CC2BD56" w14:textId="77777777" w:rsidR="007D3E32" w:rsidRDefault="007D3E32" w:rsidP="007D3E32">
      <w:pPr>
        <w:pStyle w:val="FootnoteText"/>
        <w:spacing w:after="60"/>
        <w:jc w:val="both"/>
      </w:pPr>
      <w:r>
        <w:rPr>
          <w:rStyle w:val="FootnoteReference"/>
        </w:rPr>
        <w:footnoteRef/>
      </w:r>
      <w:r>
        <w:t xml:space="preserve"> </w:t>
      </w:r>
      <w:r w:rsidRPr="00C9259E">
        <w:rPr>
          <w:sz w:val="18"/>
          <w:szCs w:val="16"/>
        </w:rPr>
        <w:t>Running from 2016 to 2021.</w:t>
      </w:r>
    </w:p>
  </w:footnote>
  <w:footnote w:id="6">
    <w:p w14:paraId="7A0B0189" w14:textId="77777777" w:rsidR="007D3E32" w:rsidRPr="00541E1F" w:rsidRDefault="007D3E32" w:rsidP="007D3E32">
      <w:pPr>
        <w:pStyle w:val="FootnoteText"/>
        <w:spacing w:after="60"/>
        <w:jc w:val="both"/>
        <w:rPr>
          <w:szCs w:val="18"/>
        </w:rPr>
      </w:pPr>
      <w:r w:rsidRPr="00FA012C">
        <w:rPr>
          <w:rStyle w:val="FootnoteReference"/>
          <w:szCs w:val="18"/>
        </w:rPr>
        <w:footnoteRef/>
      </w:r>
      <w:r w:rsidRPr="00FA012C">
        <w:rPr>
          <w:szCs w:val="18"/>
        </w:rPr>
        <w:t xml:space="preserve"> </w:t>
      </w:r>
      <w:r w:rsidRPr="00C9259E">
        <w:rPr>
          <w:sz w:val="18"/>
          <w:szCs w:val="16"/>
        </w:rPr>
        <w:t>The first Affordable Homes Programme (AHP) ran between 2011 and 2015, delivering an estimated 186,000 affordable homes in total. The following AHP runs from 2015 to 2018.</w:t>
      </w:r>
    </w:p>
  </w:footnote>
  <w:footnote w:id="7">
    <w:p w14:paraId="278664CF" w14:textId="77777777" w:rsidR="007D3E32" w:rsidRPr="00541E1F" w:rsidRDefault="007D3E32" w:rsidP="007D3E32">
      <w:pPr>
        <w:pStyle w:val="FootnoteText"/>
        <w:spacing w:after="60"/>
        <w:jc w:val="both"/>
        <w:rPr>
          <w:szCs w:val="18"/>
        </w:rPr>
      </w:pPr>
      <w:r w:rsidRPr="00FA012C">
        <w:rPr>
          <w:rStyle w:val="FootnoteReference"/>
          <w:szCs w:val="18"/>
        </w:rPr>
        <w:footnoteRef/>
      </w:r>
      <w:r w:rsidRPr="00FA012C">
        <w:rPr>
          <w:szCs w:val="18"/>
        </w:rPr>
        <w:t xml:space="preserve"> </w:t>
      </w:r>
      <w:r w:rsidRPr="00C9259E">
        <w:rPr>
          <w:sz w:val="18"/>
          <w:szCs w:val="16"/>
        </w:rPr>
        <w:t>The National Affordable Housing Programme (NAHP) ran between 2008 and 2011, delivering an estimated 155,000 new homes.</w:t>
      </w:r>
    </w:p>
  </w:footnote>
  <w:footnote w:id="8">
    <w:p w14:paraId="65D27209" w14:textId="13F0A4C5" w:rsidR="005A7EA7" w:rsidRDefault="005A7EA7" w:rsidP="007D3E32">
      <w:pPr>
        <w:pStyle w:val="FootnoteText"/>
        <w:spacing w:after="60"/>
        <w:jc w:val="both"/>
      </w:pPr>
      <w:r>
        <w:rPr>
          <w:rStyle w:val="FootnoteReference"/>
        </w:rPr>
        <w:footnoteRef/>
      </w:r>
      <w:r>
        <w:t xml:space="preserve"> </w:t>
      </w:r>
      <w:r w:rsidRPr="00C9259E">
        <w:rPr>
          <w:sz w:val="18"/>
          <w:szCs w:val="16"/>
        </w:rPr>
        <w:t xml:space="preserve">We have changed the format in which we present this table. In previous years we used the data released by Homes England publicly in their summary reports. For this year, we are </w:t>
      </w:r>
      <w:r w:rsidR="00C52A84" w:rsidRPr="00C9259E">
        <w:rPr>
          <w:sz w:val="18"/>
          <w:szCs w:val="16"/>
        </w:rPr>
        <w:t>calculating the regional estimates using the local authority level data. As such, there is more granularity compared to previous years, and because of this some of the figures may be slightly different.</w:t>
      </w:r>
    </w:p>
  </w:footnote>
  <w:footnote w:id="9">
    <w:p w14:paraId="462B8F1C" w14:textId="75C87A3D" w:rsidR="00830D25" w:rsidRDefault="00830D25" w:rsidP="007D3E32">
      <w:pPr>
        <w:pStyle w:val="FootnoteText"/>
        <w:spacing w:after="60"/>
        <w:jc w:val="both"/>
      </w:pPr>
      <w:r>
        <w:rPr>
          <w:rStyle w:val="FootnoteReference"/>
        </w:rPr>
        <w:footnoteRef/>
      </w:r>
      <w:r>
        <w:t xml:space="preserve"> </w:t>
      </w:r>
      <w:r w:rsidRPr="00C9259E">
        <w:rPr>
          <w:sz w:val="18"/>
          <w:szCs w:val="16"/>
        </w:rPr>
        <w:t>This £2</w:t>
      </w:r>
      <w:r w:rsidR="002C3BC0">
        <w:rPr>
          <w:sz w:val="18"/>
          <w:szCs w:val="16"/>
        </w:rPr>
        <w:t>81</w:t>
      </w:r>
      <w:r w:rsidRPr="00C9259E">
        <w:rPr>
          <w:sz w:val="18"/>
          <w:szCs w:val="16"/>
        </w:rPr>
        <w:t>,</w:t>
      </w:r>
      <w:r w:rsidR="002C3BC0">
        <w:rPr>
          <w:sz w:val="18"/>
          <w:szCs w:val="16"/>
        </w:rPr>
        <w:t>783</w:t>
      </w:r>
      <w:r w:rsidRPr="00C9259E">
        <w:rPr>
          <w:sz w:val="18"/>
          <w:szCs w:val="16"/>
        </w:rPr>
        <w:t xml:space="preserve"> average scheme cost for London </w:t>
      </w:r>
      <w:r w:rsidR="002C3BC0">
        <w:rPr>
          <w:sz w:val="18"/>
          <w:szCs w:val="16"/>
        </w:rPr>
        <w:t>has been adjusted from the previous figure of £278,000, based on the wider changes to per home costs across England, per SOAHP data.</w:t>
      </w:r>
      <w:r>
        <w:t xml:space="preserve"> </w:t>
      </w:r>
    </w:p>
  </w:footnote>
  <w:footnote w:id="10">
    <w:p w14:paraId="26EB4CDE" w14:textId="02E24441" w:rsidR="00830D25" w:rsidRDefault="00830D25" w:rsidP="007D3E32">
      <w:pPr>
        <w:pStyle w:val="FootnoteText"/>
        <w:spacing w:after="0"/>
      </w:pPr>
      <w:r>
        <w:rPr>
          <w:rStyle w:val="FootnoteReference"/>
        </w:rPr>
        <w:footnoteRef/>
      </w:r>
      <w:r>
        <w:t xml:space="preserve"> </w:t>
      </w:r>
      <w:r w:rsidRPr="007D3E32">
        <w:rPr>
          <w:sz w:val="18"/>
          <w:szCs w:val="16"/>
        </w:rPr>
        <w:t>This table is unchanged from the previous iteration of the LEIC.</w:t>
      </w:r>
    </w:p>
  </w:footnote>
  <w:footnote w:id="11">
    <w:p w14:paraId="522F6D31" w14:textId="30460BE3" w:rsidR="00830D25" w:rsidRDefault="00830D25" w:rsidP="007D3E32">
      <w:pPr>
        <w:pStyle w:val="FootnoteText"/>
        <w:spacing w:after="0"/>
      </w:pPr>
      <w:r>
        <w:rPr>
          <w:rStyle w:val="FootnoteReference"/>
        </w:rPr>
        <w:footnoteRef/>
      </w:r>
      <w:r>
        <w:t xml:space="preserve"> </w:t>
      </w:r>
      <w:r w:rsidRPr="007D3E32">
        <w:rPr>
          <w:sz w:val="18"/>
          <w:szCs w:val="16"/>
        </w:rPr>
        <w:t>This table is unchanged from the previous iteration of the LEIC.</w:t>
      </w:r>
    </w:p>
  </w:footnote>
  <w:footnote w:id="12">
    <w:p w14:paraId="67D7F0C2" w14:textId="77777777" w:rsidR="00830D25" w:rsidRPr="00224108" w:rsidRDefault="00830D25" w:rsidP="006E2692">
      <w:pPr>
        <w:pStyle w:val="FootnoteText"/>
        <w:spacing w:after="60"/>
        <w:jc w:val="both"/>
        <w:rPr>
          <w:szCs w:val="18"/>
        </w:rPr>
      </w:pPr>
      <w:r w:rsidRPr="00830D25">
        <w:rPr>
          <w:rStyle w:val="FootnoteReference"/>
        </w:rPr>
        <w:footnoteRef/>
      </w:r>
      <w:r w:rsidRPr="00830D25">
        <w:rPr>
          <w:rStyle w:val="FootnoteReference"/>
        </w:rPr>
        <w:t xml:space="preserve"> </w:t>
      </w:r>
      <w:r w:rsidRPr="007D3E32">
        <w:rPr>
          <w:sz w:val="18"/>
          <w:szCs w:val="16"/>
        </w:rPr>
        <w:t>These three together constitute gross value added (GVA).</w:t>
      </w:r>
    </w:p>
  </w:footnote>
  <w:footnote w:id="13">
    <w:p w14:paraId="623C2681" w14:textId="77777777" w:rsidR="00830D25" w:rsidRPr="00905263" w:rsidRDefault="00830D25" w:rsidP="006E2692">
      <w:pPr>
        <w:pStyle w:val="Default"/>
        <w:spacing w:after="60"/>
        <w:jc w:val="both"/>
        <w:rPr>
          <w:rFonts w:asciiTheme="minorHAnsi" w:hAnsiTheme="minorHAnsi" w:cs="Bliss Pro Light"/>
        </w:rPr>
      </w:pPr>
      <w:r w:rsidRPr="00830D25">
        <w:rPr>
          <w:rStyle w:val="FootnoteReference"/>
          <w:rFonts w:ascii="Helvetica Neue LT Std 65 Medium" w:eastAsiaTheme="minorEastAsia" w:hAnsi="Helvetica Neue LT Std 65 Medium" w:cs="Times New Roman"/>
          <w:szCs w:val="20"/>
          <w:lang w:eastAsia="zh-TW"/>
        </w:rPr>
        <w:footnoteRef/>
      </w:r>
      <w:r w:rsidRPr="00830D25">
        <w:rPr>
          <w:rStyle w:val="FootnoteReference"/>
          <w:rFonts w:ascii="Helvetica Neue LT Std 65 Medium" w:eastAsiaTheme="minorEastAsia" w:hAnsi="Helvetica Neue LT Std 65 Medium"/>
          <w:szCs w:val="20"/>
          <w:lang w:eastAsia="zh-TW"/>
        </w:rPr>
        <w:t xml:space="preserve"> </w:t>
      </w:r>
      <w:r w:rsidRPr="007D3E32">
        <w:rPr>
          <w:rFonts w:ascii="Helvetica Neue LT Std 65 Medium" w:eastAsiaTheme="minorEastAsia" w:hAnsi="Helvetica Neue LT Std 65 Medium" w:cs="Times New Roman"/>
          <w:color w:val="40403E"/>
          <w:position w:val="14"/>
          <w:sz w:val="18"/>
          <w:szCs w:val="16"/>
          <w:lang w:eastAsia="zh-TW"/>
        </w:rPr>
        <w:t>This assumption is based on the percentage reported by housing associations. See for example, ‘English housing associations: Direct payment of benefit to tenants a manageable risk’. Moody’s investors service, 30 May 2012.</w:t>
      </w:r>
    </w:p>
  </w:footnote>
  <w:footnote w:id="14">
    <w:p w14:paraId="389E0F83" w14:textId="77777777" w:rsidR="00830D25" w:rsidRPr="00254968" w:rsidRDefault="00830D25" w:rsidP="006E2692">
      <w:pPr>
        <w:pStyle w:val="FootnoteText"/>
        <w:spacing w:after="60"/>
        <w:jc w:val="both"/>
        <w:rPr>
          <w:szCs w:val="18"/>
        </w:rPr>
      </w:pPr>
      <w:r>
        <w:rPr>
          <w:rStyle w:val="FootnoteReference"/>
        </w:rPr>
        <w:footnoteRef/>
      </w:r>
      <w:r>
        <w:t xml:space="preserve"> </w:t>
      </w:r>
      <w:r w:rsidRPr="007D3E32">
        <w:rPr>
          <w:sz w:val="18"/>
          <w:szCs w:val="16"/>
        </w:rPr>
        <w:t>For details on the current payment of housing benefits and planned changes see ‘Paying Housing Benefit direct to tenants in social rented housing’. House of Commons Library, 5 April 2012.</w:t>
      </w:r>
    </w:p>
  </w:footnote>
  <w:footnote w:id="15">
    <w:p w14:paraId="22C5D69B" w14:textId="77777777" w:rsidR="00830D25" w:rsidRPr="001213A1" w:rsidRDefault="00830D25" w:rsidP="006E2692">
      <w:pPr>
        <w:pStyle w:val="FootnoteText"/>
        <w:spacing w:after="60"/>
        <w:jc w:val="both"/>
        <w:rPr>
          <w:szCs w:val="18"/>
        </w:rPr>
      </w:pPr>
      <w:r w:rsidRPr="001213A1">
        <w:rPr>
          <w:rStyle w:val="FootnoteReference"/>
          <w:szCs w:val="18"/>
        </w:rPr>
        <w:footnoteRef/>
      </w:r>
      <w:r w:rsidRPr="001213A1">
        <w:rPr>
          <w:szCs w:val="18"/>
        </w:rPr>
        <w:t xml:space="preserve"> </w:t>
      </w:r>
      <w:r w:rsidRPr="007D3E32">
        <w:rPr>
          <w:sz w:val="18"/>
          <w:szCs w:val="16"/>
        </w:rPr>
        <w:t>See, for example, Leontief, Wassily W. Input-Output Economics. 2nd ed., New York: Oxford University Press, 1986.</w:t>
      </w:r>
    </w:p>
  </w:footnote>
  <w:footnote w:id="16">
    <w:p w14:paraId="1AC6ACC3" w14:textId="77777777" w:rsidR="00830D25" w:rsidRPr="00204F45" w:rsidRDefault="00830D25" w:rsidP="006E2692">
      <w:pPr>
        <w:pStyle w:val="FootnoteText"/>
        <w:spacing w:after="60"/>
        <w:jc w:val="both"/>
        <w:rPr>
          <w:szCs w:val="18"/>
        </w:rPr>
      </w:pPr>
      <w:r w:rsidRPr="00204F45">
        <w:rPr>
          <w:rStyle w:val="FootnoteReference"/>
          <w:szCs w:val="18"/>
        </w:rPr>
        <w:footnoteRef/>
      </w:r>
      <w:r w:rsidRPr="00204F45">
        <w:rPr>
          <w:szCs w:val="18"/>
        </w:rPr>
        <w:t xml:space="preserve"> </w:t>
      </w:r>
      <w:r w:rsidRPr="007D3E32">
        <w:rPr>
          <w:sz w:val="18"/>
          <w:szCs w:val="16"/>
        </w:rPr>
        <w:t xml:space="preserve">See ten </w:t>
      </w:r>
      <w:proofErr w:type="spellStart"/>
      <w:r w:rsidRPr="007D3E32">
        <w:rPr>
          <w:sz w:val="18"/>
          <w:szCs w:val="16"/>
        </w:rPr>
        <w:t>Raa</w:t>
      </w:r>
      <w:proofErr w:type="spellEnd"/>
      <w:r w:rsidRPr="007D3E32">
        <w:rPr>
          <w:sz w:val="18"/>
          <w:szCs w:val="16"/>
        </w:rPr>
        <w:t>, Thijs (2005), The Economics of Input-Output Analysis, Cambridge University Press.</w:t>
      </w:r>
    </w:p>
  </w:footnote>
  <w:footnote w:id="17">
    <w:p w14:paraId="52DE6E02" w14:textId="77777777" w:rsidR="00830D25" w:rsidRPr="0098467D" w:rsidRDefault="00830D25" w:rsidP="006E2692">
      <w:pPr>
        <w:pStyle w:val="FootnoteText"/>
        <w:spacing w:after="60"/>
        <w:jc w:val="both"/>
        <w:rPr>
          <w:szCs w:val="18"/>
        </w:rPr>
      </w:pPr>
      <w:r w:rsidRPr="0098467D">
        <w:rPr>
          <w:rStyle w:val="FootnoteReference"/>
          <w:szCs w:val="18"/>
        </w:rPr>
        <w:footnoteRef/>
      </w:r>
      <w:r w:rsidRPr="0098467D">
        <w:rPr>
          <w:szCs w:val="18"/>
        </w:rPr>
        <w:t xml:space="preserve"> </w:t>
      </w:r>
      <w:r w:rsidRPr="006E2692">
        <w:rPr>
          <w:sz w:val="18"/>
          <w:szCs w:val="16"/>
        </w:rPr>
        <w:t>Technical co-</w:t>
      </w:r>
      <w:proofErr w:type="spellStart"/>
      <w:r w:rsidRPr="006E2692">
        <w:rPr>
          <w:sz w:val="18"/>
          <w:szCs w:val="16"/>
        </w:rPr>
        <w:t>efficients</w:t>
      </w:r>
      <w:proofErr w:type="spellEnd"/>
      <w:r w:rsidRPr="006E2692">
        <w:rPr>
          <w:sz w:val="18"/>
          <w:szCs w:val="16"/>
        </w:rPr>
        <w:t xml:space="preserve"> are also known as direct requirements and represent the amounts of intermediate consumption of the various product/service categories from which the industry in question draws its inputs per £1 of output of that industry.</w:t>
      </w:r>
      <w:r w:rsidRPr="0098467D">
        <w:rPr>
          <w:szCs w:val="18"/>
        </w:rPr>
        <w:t xml:space="preserve">  </w:t>
      </w:r>
    </w:p>
  </w:footnote>
  <w:footnote w:id="18">
    <w:p w14:paraId="3A2F3345" w14:textId="77777777" w:rsidR="00830D25" w:rsidRPr="0098467D" w:rsidRDefault="00830D25" w:rsidP="006E2692">
      <w:pPr>
        <w:pStyle w:val="FootnoteText"/>
        <w:spacing w:after="60"/>
        <w:jc w:val="both"/>
        <w:rPr>
          <w:szCs w:val="18"/>
        </w:rPr>
      </w:pPr>
      <w:r w:rsidRPr="0098467D">
        <w:rPr>
          <w:rStyle w:val="FootnoteReference"/>
          <w:szCs w:val="18"/>
        </w:rPr>
        <w:footnoteRef/>
      </w:r>
      <w:r w:rsidRPr="0098467D">
        <w:rPr>
          <w:szCs w:val="18"/>
        </w:rPr>
        <w:t xml:space="preserve"> </w:t>
      </w:r>
      <w:r w:rsidRPr="006E2692">
        <w:rPr>
          <w:sz w:val="18"/>
          <w:szCs w:val="16"/>
        </w:rPr>
        <w:t>These ‘simple’ location quotients are calculated as a ratio of the share of the relevant sector in total regional GVA and the share of the relevant sector in total UK GVA.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1ED94" w14:textId="77777777" w:rsidR="00830D25" w:rsidRDefault="002C3BC0">
    <w:pPr>
      <w:pStyle w:val="Header"/>
    </w:pPr>
    <w:r>
      <w:rPr>
        <w:noProof/>
      </w:rPr>
      <w:pict w14:anchorId="38EFB1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5" type="#_x0000_t75" alt="final back cover word" style="position:absolute;margin-left:0;margin-top:0;width:596.5pt;height:843.35pt;z-index:-251613184;mso-wrap-edited:f;mso-width-percent:0;mso-height-percent:0;mso-position-horizontal:center;mso-position-horizontal-relative:margin;mso-position-vertical:center;mso-position-vertical-relative:margin;mso-width-percent:0;mso-height-percent:0" o:allowincell="f">
          <v:imagedata r:id="rId1" o:title="final back cover word"/>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444C5" w14:textId="77777777" w:rsidR="00830D25" w:rsidRDefault="00830D25">
    <w:pPr>
      <w:pStyle w:val="Header"/>
    </w:pPr>
    <w:r>
      <w:rPr>
        <w:noProof/>
        <w:lang w:eastAsia="en-GB"/>
      </w:rPr>
      <w:drawing>
        <wp:anchor distT="0" distB="0" distL="114300" distR="114300" simplePos="0" relativeHeight="251714560" behindDoc="1" locked="0" layoutInCell="0" allowOverlap="1" wp14:anchorId="068A4453" wp14:editId="016BE738">
          <wp:simplePos x="0" y="0"/>
          <wp:positionH relativeFrom="margin">
            <wp:align>center</wp:align>
          </wp:positionH>
          <wp:positionV relativeFrom="margin">
            <wp:align>center</wp:align>
          </wp:positionV>
          <wp:extent cx="5731510" cy="8103235"/>
          <wp:effectExtent l="0" t="0" r="2540" b="0"/>
          <wp:wrapNone/>
          <wp:docPr id="11" name="Picture 11" descr="final back cover 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final back cover wor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810323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0224037"/>
      <w:docPartObj>
        <w:docPartGallery w:val="Page Numbers (Top of Page)"/>
      </w:docPartObj>
    </w:sdtPr>
    <w:sdtEndPr>
      <w:rPr>
        <w:noProof/>
      </w:rPr>
    </w:sdtEndPr>
    <w:sdtContent>
      <w:p w14:paraId="12370915" w14:textId="77777777" w:rsidR="00830D25" w:rsidRDefault="00830D25">
        <w:pPr>
          <w:pStyle w:val="Header"/>
          <w:jc w:val="right"/>
        </w:pPr>
        <w:r>
          <w:fldChar w:fldCharType="begin"/>
        </w:r>
        <w:r>
          <w:instrText xml:space="preserve"> PAGE   \* MERGEFORMAT </w:instrText>
        </w:r>
        <w:r>
          <w:fldChar w:fldCharType="separate"/>
        </w:r>
        <w:r>
          <w:rPr>
            <w:noProof/>
          </w:rPr>
          <w:t>50</w:t>
        </w:r>
        <w:r>
          <w:rPr>
            <w:noProof/>
          </w:rPr>
          <w:fldChar w:fldCharType="end"/>
        </w:r>
      </w:p>
    </w:sdtContent>
  </w:sdt>
  <w:p w14:paraId="64641BEE" w14:textId="77777777" w:rsidR="00830D25" w:rsidRDefault="00830D25">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C13B6" w14:textId="77777777" w:rsidR="00830D25" w:rsidRDefault="00830D25">
    <w:pPr>
      <w:pStyle w:val="Header"/>
    </w:pPr>
    <w:r>
      <w:rPr>
        <w:noProof/>
        <w:lang w:eastAsia="en-GB"/>
      </w:rPr>
      <w:drawing>
        <wp:anchor distT="0" distB="0" distL="114300" distR="114300" simplePos="0" relativeHeight="251713536" behindDoc="1" locked="0" layoutInCell="0" allowOverlap="1" wp14:anchorId="4F029FB2" wp14:editId="32B541B6">
          <wp:simplePos x="0" y="0"/>
          <wp:positionH relativeFrom="margin">
            <wp:align>center</wp:align>
          </wp:positionH>
          <wp:positionV relativeFrom="margin">
            <wp:align>center</wp:align>
          </wp:positionV>
          <wp:extent cx="5731510" cy="8103235"/>
          <wp:effectExtent l="0" t="0" r="2540" b="0"/>
          <wp:wrapNone/>
          <wp:docPr id="14" name="Picture 14" descr="final back cover 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final back cover wor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810323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D43CC" w14:textId="77777777" w:rsidR="00830D25" w:rsidRDefault="002C3BC0">
    <w:pPr>
      <w:pStyle w:val="Header"/>
    </w:pPr>
    <w:r>
      <w:rPr>
        <w:noProof/>
      </w:rPr>
      <w:pict w14:anchorId="39345FE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744138" o:spid="_x0000_s2051" type="#_x0000_t75" alt="final back cover word" style="position:absolute;margin-left:0;margin-top:0;width:596.5pt;height:843.35pt;z-index:-251627520;mso-wrap-edited:f;mso-width-percent:0;mso-height-percent:0;mso-position-horizontal:center;mso-position-horizontal-relative:margin;mso-position-vertical:center;mso-position-vertical-relative:margin;mso-width-percent:0;mso-height-percent:0" o:allowincell="f">
          <v:imagedata r:id="rId1" o:title="final back cover word"/>
          <w10:wrap anchorx="margin" anchory="margin"/>
        </v:shape>
      </w:pic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6A02A" w14:textId="77777777" w:rsidR="00830D25" w:rsidRDefault="002C3BC0">
    <w:pPr>
      <w:pStyle w:val="Header"/>
    </w:pPr>
    <w:r>
      <w:rPr>
        <w:noProof/>
      </w:rPr>
      <w:pict w14:anchorId="28147B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744139" o:spid="_x0000_s2050" type="#_x0000_t75" alt="final back cover word" style="position:absolute;margin-left:0;margin-top:0;width:596.5pt;height:843.35pt;z-index:-251624448;mso-wrap-edited:f;mso-width-percent:0;mso-height-percent:0;mso-position-horizontal:center;mso-position-horizontal-relative:margin;mso-position-vertical:center;mso-position-vertical-relative:margin;mso-width-percent:0;mso-height-percent:0" o:allowincell="f">
          <v:imagedata r:id="rId1" o:title="final back cover word"/>
          <w10:wrap anchorx="margin" anchory="margin"/>
        </v:shape>
      </w:pic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88E91" w14:textId="77777777" w:rsidR="00830D25" w:rsidRDefault="002C3BC0">
    <w:pPr>
      <w:pStyle w:val="Header"/>
    </w:pPr>
    <w:r>
      <w:rPr>
        <w:noProof/>
      </w:rPr>
      <w:pict w14:anchorId="3B7B8A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744137" o:spid="_x0000_s2049" type="#_x0000_t75" alt="final back cover word" style="position:absolute;margin-left:0;margin-top:0;width:596.5pt;height:843.35pt;z-index:-251630592;mso-wrap-edited:f;mso-width-percent:0;mso-height-percent:0;mso-position-horizontal:center;mso-position-horizontal-relative:margin;mso-position-vertical:center;mso-position-vertical-relative:margin;mso-width-percent:0;mso-height-percent:0" o:allowincell="f">
          <v:imagedata r:id="rId1" o:title="final back cover wor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7587217"/>
      <w:docPartObj>
        <w:docPartGallery w:val="Page Numbers (Top of Page)"/>
      </w:docPartObj>
    </w:sdtPr>
    <w:sdtEndPr>
      <w:rPr>
        <w:noProof/>
      </w:rPr>
    </w:sdtEndPr>
    <w:sdtContent>
      <w:p w14:paraId="59A250E3" w14:textId="77777777" w:rsidR="00830D25" w:rsidRDefault="00830D25">
        <w:pPr>
          <w:pStyle w:val="Header"/>
          <w:jc w:val="right"/>
        </w:pPr>
        <w:r>
          <w:fldChar w:fldCharType="begin"/>
        </w:r>
        <w:r>
          <w:instrText xml:space="preserve"> PAGE   \* MERGEFORMAT </w:instrText>
        </w:r>
        <w:r>
          <w:fldChar w:fldCharType="separate"/>
        </w:r>
        <w:r>
          <w:rPr>
            <w:noProof/>
          </w:rPr>
          <w:t>4</w:t>
        </w:r>
        <w:r>
          <w:rPr>
            <w:noProof/>
          </w:rPr>
          <w:fldChar w:fldCharType="end"/>
        </w:r>
      </w:p>
    </w:sdtContent>
  </w:sdt>
  <w:p w14:paraId="4305F80B" w14:textId="77777777" w:rsidR="00830D25" w:rsidRDefault="00830D2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CD50D" w14:textId="77777777" w:rsidR="00830D25" w:rsidRDefault="002C3BC0">
    <w:pPr>
      <w:pStyle w:val="Header"/>
    </w:pPr>
    <w:r>
      <w:rPr>
        <w:noProof/>
      </w:rPr>
      <w:pict w14:anchorId="4E7A76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4" type="#_x0000_t75" alt="final back cover word" style="position:absolute;margin-left:0;margin-top:0;width:596.5pt;height:843.35pt;z-index:-251614208;mso-wrap-edited:f;mso-width-percent:0;mso-height-percent:0;mso-position-horizontal:center;mso-position-horizontal-relative:margin;mso-position-vertical:center;mso-position-vertical-relative:margin;mso-width-percent:0;mso-height-percent:0" o:allowincell="f">
          <v:imagedata r:id="rId1" o:title="final back cover word"/>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C0E32" w14:textId="77777777" w:rsidR="00830D25" w:rsidRDefault="002C3BC0">
    <w:pPr>
      <w:pStyle w:val="Header"/>
    </w:pPr>
    <w:r>
      <w:rPr>
        <w:noProof/>
      </w:rPr>
      <w:pict w14:anchorId="339AAB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alt="final back cover word" style="position:absolute;margin-left:0;margin-top:0;width:596.5pt;height:843.35pt;z-index:-251595776;mso-wrap-edited:f;mso-width-percent:0;mso-height-percent:0;mso-position-horizontal:center;mso-position-horizontal-relative:margin;mso-position-vertical:center;mso-position-vertical-relative:margin;mso-width-percent:0;mso-height-percent:0" o:allowincell="f">
          <v:imagedata r:id="rId1" o:title="final back cover word"/>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6020793"/>
      <w:docPartObj>
        <w:docPartGallery w:val="Page Numbers (Top of Page)"/>
      </w:docPartObj>
    </w:sdtPr>
    <w:sdtEndPr>
      <w:rPr>
        <w:noProof/>
      </w:rPr>
    </w:sdtEndPr>
    <w:sdtContent>
      <w:p w14:paraId="37AC6E7F" w14:textId="77777777" w:rsidR="00830D25" w:rsidRDefault="00830D25">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D17D61A" w14:textId="77777777" w:rsidR="00830D25" w:rsidRDefault="00830D2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646FF" w14:textId="77777777" w:rsidR="00830D25" w:rsidRDefault="002C3BC0">
    <w:pPr>
      <w:pStyle w:val="Header"/>
    </w:pPr>
    <w:r>
      <w:rPr>
        <w:noProof/>
      </w:rPr>
      <w:pict w14:anchorId="76656B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alt="final back cover word" style="position:absolute;margin-left:0;margin-top:0;width:596.5pt;height:843.35pt;z-index:-251596800;mso-wrap-edited:f;mso-width-percent:0;mso-height-percent:0;mso-position-horizontal:center;mso-position-horizontal-relative:margin;mso-position-vertical:center;mso-position-vertical-relative:margin;mso-width-percent:0;mso-height-percent:0" o:allowincell="f">
          <v:imagedata r:id="rId1" o:title="final back cover word"/>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416D4" w14:textId="4841E4B5" w:rsidR="00830D25" w:rsidRDefault="00830D25">
    <w:pPr>
      <w:pStyle w:val="Header"/>
    </w:pPr>
    <w:r>
      <w:rPr>
        <w:noProof/>
      </w:rPr>
      <w:drawing>
        <wp:anchor distT="0" distB="0" distL="114300" distR="114300" simplePos="0" relativeHeight="251725824" behindDoc="1" locked="0" layoutInCell="0" allowOverlap="1" wp14:anchorId="5CE82771" wp14:editId="03009432">
          <wp:simplePos x="0" y="0"/>
          <wp:positionH relativeFrom="margin">
            <wp:align>center</wp:align>
          </wp:positionH>
          <wp:positionV relativeFrom="margin">
            <wp:align>center</wp:align>
          </wp:positionV>
          <wp:extent cx="5731510" cy="8103235"/>
          <wp:effectExtent l="0" t="0" r="2540" b="0"/>
          <wp:wrapNone/>
          <wp:docPr id="9279" name="Picture 9279" descr="final back cover 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final back cover wor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810323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5079853"/>
      <w:docPartObj>
        <w:docPartGallery w:val="Page Numbers (Top of Page)"/>
      </w:docPartObj>
    </w:sdtPr>
    <w:sdtEndPr>
      <w:rPr>
        <w:noProof/>
      </w:rPr>
    </w:sdtEndPr>
    <w:sdtContent>
      <w:p w14:paraId="4EBE2E02" w14:textId="77777777" w:rsidR="00830D25" w:rsidRDefault="00830D25">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0F7F1D8" w14:textId="77777777" w:rsidR="00830D25" w:rsidRDefault="00830D25">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CE71D" w14:textId="52DB671D" w:rsidR="00830D25" w:rsidRDefault="00830D25">
    <w:pPr>
      <w:pStyle w:val="Header"/>
    </w:pPr>
    <w:r>
      <w:rPr>
        <w:noProof/>
      </w:rPr>
      <w:drawing>
        <wp:anchor distT="0" distB="0" distL="114300" distR="114300" simplePos="0" relativeHeight="251724800" behindDoc="1" locked="0" layoutInCell="0" allowOverlap="1" wp14:anchorId="513E093E" wp14:editId="77535471">
          <wp:simplePos x="0" y="0"/>
          <wp:positionH relativeFrom="margin">
            <wp:align>center</wp:align>
          </wp:positionH>
          <wp:positionV relativeFrom="margin">
            <wp:align>center</wp:align>
          </wp:positionV>
          <wp:extent cx="5731510" cy="8103235"/>
          <wp:effectExtent l="0" t="0" r="2540" b="0"/>
          <wp:wrapNone/>
          <wp:docPr id="360" name="Picture 360" descr="final back cover 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final back cover wor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810323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E3E1570"/>
    <w:lvl w:ilvl="0">
      <w:start w:val="1"/>
      <w:numFmt w:val="decimal"/>
      <w:lvlText w:val="%1."/>
      <w:lvlJc w:val="left"/>
      <w:pPr>
        <w:tabs>
          <w:tab w:val="num" w:pos="643"/>
        </w:tabs>
        <w:ind w:left="643" w:hanging="360"/>
      </w:pPr>
    </w:lvl>
  </w:abstractNum>
  <w:abstractNum w:abstractNumId="1" w15:restartNumberingAfterBreak="0">
    <w:nsid w:val="FFFFFF82"/>
    <w:multiLevelType w:val="singleLevel"/>
    <w:tmpl w:val="F19EF4C6"/>
    <w:lvl w:ilvl="0">
      <w:start w:val="1"/>
      <w:numFmt w:val="bullet"/>
      <w:pStyle w:val="ListBullet3"/>
      <w:lvlText w:val=""/>
      <w:lvlJc w:val="left"/>
      <w:pPr>
        <w:tabs>
          <w:tab w:val="num" w:pos="2057"/>
        </w:tabs>
        <w:ind w:left="2057" w:hanging="360"/>
      </w:pPr>
      <w:rPr>
        <w:rFonts w:ascii="Symbol" w:hAnsi="Symbol" w:hint="default"/>
      </w:rPr>
    </w:lvl>
  </w:abstractNum>
  <w:abstractNum w:abstractNumId="2" w15:restartNumberingAfterBreak="0">
    <w:nsid w:val="FFFFFF83"/>
    <w:multiLevelType w:val="singleLevel"/>
    <w:tmpl w:val="E9ECA6BE"/>
    <w:lvl w:ilvl="0">
      <w:start w:val="1"/>
      <w:numFmt w:val="bullet"/>
      <w:pStyle w:val="ListBullet2"/>
      <w:lvlText w:val="–"/>
      <w:lvlJc w:val="left"/>
      <w:pPr>
        <w:ind w:left="587" w:hanging="360"/>
      </w:pPr>
      <w:rPr>
        <w:rFonts w:ascii="Gotham Light" w:hAnsi="Gotham Light" w:cs="Symbol" w:hint="default"/>
        <w:color w:val="404040" w:themeColor="text1" w:themeTint="BF"/>
      </w:rPr>
    </w:lvl>
  </w:abstractNum>
  <w:abstractNum w:abstractNumId="3" w15:restartNumberingAfterBreak="0">
    <w:nsid w:val="FFFFFF88"/>
    <w:multiLevelType w:val="singleLevel"/>
    <w:tmpl w:val="0812F64C"/>
    <w:lvl w:ilvl="0">
      <w:start w:val="1"/>
      <w:numFmt w:val="decimal"/>
      <w:pStyle w:val="ListNumber"/>
      <w:lvlText w:val="%1"/>
      <w:lvlJc w:val="left"/>
      <w:pPr>
        <w:ind w:left="360" w:hanging="360"/>
      </w:pPr>
      <w:rPr>
        <w:rFonts w:hint="default"/>
        <w:b/>
        <w:i w:val="0"/>
        <w:color w:val="008C9B" w:themeColor="text2"/>
      </w:rPr>
    </w:lvl>
  </w:abstractNum>
  <w:abstractNum w:abstractNumId="4" w15:restartNumberingAfterBreak="0">
    <w:nsid w:val="FFFFFF89"/>
    <w:multiLevelType w:val="singleLevel"/>
    <w:tmpl w:val="F036F5EE"/>
    <w:lvl w:ilvl="0">
      <w:start w:val="1"/>
      <w:numFmt w:val="bullet"/>
      <w:lvlText w:val=""/>
      <w:lvlJc w:val="left"/>
      <w:pPr>
        <w:ind w:left="720" w:hanging="360"/>
      </w:pPr>
      <w:rPr>
        <w:rFonts w:ascii="Symbol" w:hAnsi="Symbol" w:cs="Symbol" w:hint="default"/>
        <w:color w:val="008C9B" w:themeColor="accent1"/>
        <w:sz w:val="22"/>
        <w:szCs w:val="32"/>
      </w:rPr>
    </w:lvl>
  </w:abstractNum>
  <w:abstractNum w:abstractNumId="5" w15:restartNumberingAfterBreak="0">
    <w:nsid w:val="074D38FB"/>
    <w:multiLevelType w:val="hybridMultilevel"/>
    <w:tmpl w:val="76BC8184"/>
    <w:lvl w:ilvl="0" w:tplc="3DEA876A">
      <w:start w:val="1"/>
      <w:numFmt w:val="lowerLetter"/>
      <w:lvlText w:val="%1"/>
      <w:lvlJc w:val="left"/>
      <w:pPr>
        <w:ind w:left="947" w:hanging="360"/>
      </w:pPr>
      <w:rPr>
        <w:rFonts w:hint="default"/>
        <w:bCs/>
        <w:iCs w:val="0"/>
        <w:color w:val="008C9B" w:themeColor="accent1"/>
      </w:rPr>
    </w:lvl>
    <w:lvl w:ilvl="1" w:tplc="08090019" w:tentative="1">
      <w:start w:val="1"/>
      <w:numFmt w:val="lowerLetter"/>
      <w:lvlText w:val="%2."/>
      <w:lvlJc w:val="left"/>
      <w:pPr>
        <w:ind w:left="1667" w:hanging="360"/>
      </w:pPr>
    </w:lvl>
    <w:lvl w:ilvl="2" w:tplc="0809001B" w:tentative="1">
      <w:start w:val="1"/>
      <w:numFmt w:val="lowerRoman"/>
      <w:lvlText w:val="%3."/>
      <w:lvlJc w:val="right"/>
      <w:pPr>
        <w:ind w:left="2387" w:hanging="180"/>
      </w:pPr>
    </w:lvl>
    <w:lvl w:ilvl="3" w:tplc="0809000F" w:tentative="1">
      <w:start w:val="1"/>
      <w:numFmt w:val="decimal"/>
      <w:lvlText w:val="%4."/>
      <w:lvlJc w:val="left"/>
      <w:pPr>
        <w:ind w:left="3107" w:hanging="360"/>
      </w:pPr>
    </w:lvl>
    <w:lvl w:ilvl="4" w:tplc="08090019" w:tentative="1">
      <w:start w:val="1"/>
      <w:numFmt w:val="lowerLetter"/>
      <w:lvlText w:val="%5."/>
      <w:lvlJc w:val="left"/>
      <w:pPr>
        <w:ind w:left="3827" w:hanging="360"/>
      </w:pPr>
    </w:lvl>
    <w:lvl w:ilvl="5" w:tplc="0809001B" w:tentative="1">
      <w:start w:val="1"/>
      <w:numFmt w:val="lowerRoman"/>
      <w:lvlText w:val="%6."/>
      <w:lvlJc w:val="right"/>
      <w:pPr>
        <w:ind w:left="4547" w:hanging="180"/>
      </w:pPr>
    </w:lvl>
    <w:lvl w:ilvl="6" w:tplc="0809000F" w:tentative="1">
      <w:start w:val="1"/>
      <w:numFmt w:val="decimal"/>
      <w:lvlText w:val="%7."/>
      <w:lvlJc w:val="left"/>
      <w:pPr>
        <w:ind w:left="5267" w:hanging="360"/>
      </w:pPr>
    </w:lvl>
    <w:lvl w:ilvl="7" w:tplc="08090019" w:tentative="1">
      <w:start w:val="1"/>
      <w:numFmt w:val="lowerLetter"/>
      <w:lvlText w:val="%8."/>
      <w:lvlJc w:val="left"/>
      <w:pPr>
        <w:ind w:left="5987" w:hanging="360"/>
      </w:pPr>
    </w:lvl>
    <w:lvl w:ilvl="8" w:tplc="0809001B" w:tentative="1">
      <w:start w:val="1"/>
      <w:numFmt w:val="lowerRoman"/>
      <w:lvlText w:val="%9."/>
      <w:lvlJc w:val="right"/>
      <w:pPr>
        <w:ind w:left="6707" w:hanging="180"/>
      </w:pPr>
    </w:lvl>
  </w:abstractNum>
  <w:abstractNum w:abstractNumId="6" w15:restartNumberingAfterBreak="0">
    <w:nsid w:val="0EC9689B"/>
    <w:multiLevelType w:val="multilevel"/>
    <w:tmpl w:val="F63AA930"/>
    <w:lvl w:ilvl="0">
      <w:start w:val="1"/>
      <w:numFmt w:val="decimal"/>
      <w:lvlText w:val="%1."/>
      <w:lvlJc w:val="left"/>
      <w:pPr>
        <w:ind w:left="720" w:hanging="720"/>
      </w:pPr>
      <w:rPr>
        <w:rFonts w:hint="default"/>
        <w:b/>
        <w:bCs/>
        <w:color w:val="008C9B" w:themeColor="text2"/>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7" w15:restartNumberingAfterBreak="0">
    <w:nsid w:val="1B7E65FC"/>
    <w:multiLevelType w:val="hybridMultilevel"/>
    <w:tmpl w:val="EF60D2C8"/>
    <w:lvl w:ilvl="0" w:tplc="FB6053EE">
      <w:start w:val="1"/>
      <w:numFmt w:val="bullet"/>
      <w:lvlText w:val=""/>
      <w:lvlJc w:val="left"/>
      <w:pPr>
        <w:ind w:left="360" w:hanging="360"/>
      </w:pPr>
      <w:rPr>
        <w:rFonts w:ascii="Symbol" w:hAnsi="Symbol" w:hint="default"/>
        <w:color w:val="008C9B" w:themeColor="text2"/>
      </w:rPr>
    </w:lvl>
    <w:lvl w:ilvl="1" w:tplc="EFECB8F0">
      <w:start w:val="1"/>
      <w:numFmt w:val="bullet"/>
      <w:lvlText w:val=""/>
      <w:lvlJc w:val="left"/>
      <w:pPr>
        <w:ind w:left="927" w:hanging="360"/>
      </w:pPr>
      <w:rPr>
        <w:rFonts w:ascii="Symbol" w:hAnsi="Symbol" w:hint="default"/>
        <w:color w:val="008C9B" w:themeColor="text2"/>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5B557E"/>
    <w:multiLevelType w:val="hybridMultilevel"/>
    <w:tmpl w:val="F788DABE"/>
    <w:lvl w:ilvl="0" w:tplc="4726EB98">
      <w:start w:val="1"/>
      <w:numFmt w:val="bullet"/>
      <w:lvlText w:val=""/>
      <w:lvlJc w:val="left"/>
      <w:pPr>
        <w:ind w:left="360" w:hanging="360"/>
      </w:pPr>
      <w:rPr>
        <w:rFonts w:ascii="Symbol" w:hAnsi="Symbol" w:hint="default"/>
        <w:color w:val="008C9B" w:themeColor="text2"/>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A163BC6"/>
    <w:multiLevelType w:val="hybridMultilevel"/>
    <w:tmpl w:val="D88E441E"/>
    <w:lvl w:ilvl="0" w:tplc="4726EB98">
      <w:start w:val="1"/>
      <w:numFmt w:val="bullet"/>
      <w:lvlText w:val=""/>
      <w:lvlJc w:val="left"/>
      <w:pPr>
        <w:ind w:left="360" w:hanging="360"/>
      </w:pPr>
      <w:rPr>
        <w:rFonts w:ascii="Symbol" w:hAnsi="Symbol" w:hint="default"/>
        <w:color w:val="008C9B" w:themeColor="text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C200152"/>
    <w:multiLevelType w:val="hybridMultilevel"/>
    <w:tmpl w:val="B9EC42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BC6A49"/>
    <w:multiLevelType w:val="hybridMultilevel"/>
    <w:tmpl w:val="6E145D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E0043CC"/>
    <w:multiLevelType w:val="hybridMultilevel"/>
    <w:tmpl w:val="250A60C8"/>
    <w:lvl w:ilvl="0" w:tplc="D4FA13D4">
      <w:start w:val="1"/>
      <w:numFmt w:val="lowerLetter"/>
      <w:lvlText w:val="%1"/>
      <w:lvlJc w:val="left"/>
      <w:pPr>
        <w:ind w:left="717" w:hanging="360"/>
      </w:pPr>
      <w:rPr>
        <w:rFonts w:hint="default"/>
        <w:color w:val="008C9B" w:themeColor="text2"/>
      </w:r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13" w15:restartNumberingAfterBreak="0">
    <w:nsid w:val="41F1049A"/>
    <w:multiLevelType w:val="hybridMultilevel"/>
    <w:tmpl w:val="1CC2C074"/>
    <w:lvl w:ilvl="0" w:tplc="B6D24892">
      <w:start w:val="1"/>
      <w:numFmt w:val="bullet"/>
      <w:lvlText w:val=""/>
      <w:lvlJc w:val="left"/>
      <w:pPr>
        <w:ind w:left="360" w:hanging="360"/>
      </w:pPr>
      <w:rPr>
        <w:rFonts w:ascii="Symbol" w:hAnsi="Symbol" w:hint="default"/>
        <w:color w:val="008C9B" w:themeColor="text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29271FA"/>
    <w:multiLevelType w:val="hybridMultilevel"/>
    <w:tmpl w:val="8FCAA4EE"/>
    <w:lvl w:ilvl="0" w:tplc="4726EB98">
      <w:start w:val="1"/>
      <w:numFmt w:val="bullet"/>
      <w:lvlText w:val=""/>
      <w:lvlJc w:val="left"/>
      <w:pPr>
        <w:ind w:left="360" w:hanging="360"/>
      </w:pPr>
      <w:rPr>
        <w:rFonts w:ascii="Symbol" w:hAnsi="Symbol" w:hint="default"/>
        <w:color w:val="008C9B" w:themeColor="text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64445B9"/>
    <w:multiLevelType w:val="hybridMultilevel"/>
    <w:tmpl w:val="6666F7BA"/>
    <w:lvl w:ilvl="0" w:tplc="4DE26956">
      <w:start w:val="1"/>
      <w:numFmt w:val="bullet"/>
      <w:lvlText w:val=""/>
      <w:lvlJc w:val="left"/>
      <w:pPr>
        <w:ind w:left="360" w:hanging="360"/>
      </w:pPr>
      <w:rPr>
        <w:rFonts w:ascii="Symbol" w:hAnsi="Symbol" w:hint="default"/>
        <w:color w:val="008C9B"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76E6442"/>
    <w:multiLevelType w:val="multilevel"/>
    <w:tmpl w:val="B596C11A"/>
    <w:styleLink w:val="Cebrlist"/>
    <w:lvl w:ilvl="0">
      <w:start w:val="1"/>
      <w:numFmt w:val="decimal"/>
      <w:lvlText w:val="%1"/>
      <w:lvlJc w:val="left"/>
      <w:pPr>
        <w:ind w:left="0" w:firstLine="0"/>
      </w:pPr>
      <w:rPr>
        <w:rFonts w:hint="default"/>
      </w:rPr>
    </w:lvl>
    <w:lvl w:ilvl="1">
      <w:start w:val="1"/>
      <w:numFmt w:val="decimal"/>
      <w:lvlText w:val="%1.%2"/>
      <w:lvlJc w:val="left"/>
      <w:pPr>
        <w:ind w:left="7513"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C050132"/>
    <w:multiLevelType w:val="hybridMultilevel"/>
    <w:tmpl w:val="002CDB28"/>
    <w:lvl w:ilvl="0" w:tplc="0809000F">
      <w:start w:val="1"/>
      <w:numFmt w:val="decimal"/>
      <w:lvlText w:val="%1."/>
      <w:lvlJc w:val="left"/>
      <w:pPr>
        <w:ind w:left="360" w:hanging="360"/>
      </w:pPr>
      <w:rPr>
        <w:rFonts w:hint="default"/>
        <w:color w:val="008C9B" w:themeColor="text2"/>
      </w:rPr>
    </w:lvl>
    <w:lvl w:ilvl="1" w:tplc="0809000F">
      <w:start w:val="1"/>
      <w:numFmt w:val="decimal"/>
      <w:lvlText w:val="%2."/>
      <w:lvlJc w:val="left"/>
      <w:pPr>
        <w:ind w:left="927" w:hanging="360"/>
      </w:pPr>
      <w:rPr>
        <w:rFonts w:hint="default"/>
        <w:color w:val="008C9B" w:themeColor="text2"/>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D6410E8"/>
    <w:multiLevelType w:val="hybridMultilevel"/>
    <w:tmpl w:val="79F40EEA"/>
    <w:lvl w:ilvl="0" w:tplc="4726EB98">
      <w:start w:val="1"/>
      <w:numFmt w:val="bullet"/>
      <w:lvlText w:val=""/>
      <w:lvlJc w:val="left"/>
      <w:pPr>
        <w:ind w:left="360" w:hanging="360"/>
      </w:pPr>
      <w:rPr>
        <w:rFonts w:ascii="Symbol" w:hAnsi="Symbol" w:hint="default"/>
        <w:color w:val="008C9B" w:themeColor="text2"/>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E9F4446"/>
    <w:multiLevelType w:val="hybridMultilevel"/>
    <w:tmpl w:val="CC86BBE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1F30287"/>
    <w:multiLevelType w:val="hybridMultilevel"/>
    <w:tmpl w:val="4FE6BB4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8D87020"/>
    <w:multiLevelType w:val="hybridMultilevel"/>
    <w:tmpl w:val="AA5E5294"/>
    <w:lvl w:ilvl="0" w:tplc="4726EB98">
      <w:start w:val="1"/>
      <w:numFmt w:val="bullet"/>
      <w:lvlText w:val=""/>
      <w:lvlJc w:val="left"/>
      <w:pPr>
        <w:ind w:left="360" w:hanging="360"/>
      </w:pPr>
      <w:rPr>
        <w:rFonts w:ascii="Symbol" w:hAnsi="Symbol" w:hint="default"/>
        <w:color w:val="008C9B" w:themeColor="text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78692D6B"/>
    <w:multiLevelType w:val="multilevel"/>
    <w:tmpl w:val="2990F782"/>
    <w:lvl w:ilvl="0">
      <w:start w:val="1"/>
      <w:numFmt w:val="decimal"/>
      <w:lvlText w:val="%1."/>
      <w:lvlJc w:val="right"/>
      <w:pPr>
        <w:tabs>
          <w:tab w:val="num" w:pos="357"/>
        </w:tabs>
        <w:ind w:left="357" w:hanging="69"/>
      </w:pPr>
      <w:rPr>
        <w:rFonts w:hint="default"/>
        <w:b w:val="0"/>
        <w:bCs w:val="0"/>
        <w:color w:val="auto"/>
      </w:rPr>
    </w:lvl>
    <w:lvl w:ilvl="1">
      <w:start w:val="1"/>
      <w:numFmt w:val="decimal"/>
      <w:pStyle w:val="Heading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A014494"/>
    <w:multiLevelType w:val="hybridMultilevel"/>
    <w:tmpl w:val="3FCCF0D6"/>
    <w:lvl w:ilvl="0" w:tplc="FB6053EE">
      <w:start w:val="1"/>
      <w:numFmt w:val="bullet"/>
      <w:lvlText w:val=""/>
      <w:lvlJc w:val="left"/>
      <w:pPr>
        <w:ind w:left="360" w:hanging="360"/>
      </w:pPr>
      <w:rPr>
        <w:rFonts w:ascii="Symbol" w:hAnsi="Symbol" w:hint="default"/>
        <w:color w:val="008C9B"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D2261A4"/>
    <w:multiLevelType w:val="hybridMultilevel"/>
    <w:tmpl w:val="343C5B66"/>
    <w:lvl w:ilvl="0" w:tplc="4DE26956">
      <w:start w:val="1"/>
      <w:numFmt w:val="bullet"/>
      <w:lvlText w:val=""/>
      <w:lvlJc w:val="left"/>
      <w:pPr>
        <w:ind w:left="360" w:hanging="360"/>
      </w:pPr>
      <w:rPr>
        <w:rFonts w:ascii="Symbol" w:hAnsi="Symbol" w:hint="default"/>
        <w:color w:val="008C9B"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D8F2CF1"/>
    <w:multiLevelType w:val="hybridMultilevel"/>
    <w:tmpl w:val="0D20D452"/>
    <w:lvl w:ilvl="0" w:tplc="886290BC">
      <w:start w:val="1"/>
      <w:numFmt w:val="bullet"/>
      <w:lvlText w:val=""/>
      <w:lvlJc w:val="left"/>
      <w:pPr>
        <w:ind w:left="360" w:hanging="360"/>
      </w:pPr>
      <w:rPr>
        <w:rFonts w:ascii="Symbol" w:hAnsi="Symbol" w:hint="default"/>
        <w:color w:val="008C9B" w:themeColor="text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681273744">
    <w:abstractNumId w:val="3"/>
  </w:num>
  <w:num w:numId="2" w16cid:durableId="160201445">
    <w:abstractNumId w:val="2"/>
  </w:num>
  <w:num w:numId="3" w16cid:durableId="860122664">
    <w:abstractNumId w:val="16"/>
  </w:num>
  <w:num w:numId="4" w16cid:durableId="439688055">
    <w:abstractNumId w:val="22"/>
    <w:lvlOverride w:ilvl="0">
      <w:lvl w:ilvl="0">
        <w:start w:val="1"/>
        <w:numFmt w:val="none"/>
        <w:lvlText w:val="5."/>
        <w:lvlJc w:val="right"/>
        <w:pPr>
          <w:tabs>
            <w:tab w:val="num" w:pos="357"/>
          </w:tabs>
          <w:ind w:left="357" w:hanging="69"/>
        </w:pPr>
        <w:rPr>
          <w:rFonts w:hint="default"/>
          <w:b w:val="0"/>
          <w:bCs w:val="0"/>
          <w:color w:val="auto"/>
        </w:rPr>
      </w:lvl>
    </w:lvlOverride>
    <w:lvlOverride w:ilvl="1">
      <w:lvl w:ilvl="1">
        <w:start w:val="1"/>
        <w:numFmt w:val="decimal"/>
        <w:pStyle w:val="Heading2"/>
        <w:lvlText w:val="%15.%2"/>
        <w:lvlJc w:val="left"/>
        <w:pPr>
          <w:ind w:left="0" w:firstLine="0"/>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 w16cid:durableId="1412510043">
    <w:abstractNumId w:val="1"/>
  </w:num>
  <w:num w:numId="6" w16cid:durableId="1482387196">
    <w:abstractNumId w:val="5"/>
  </w:num>
  <w:num w:numId="7" w16cid:durableId="195503641">
    <w:abstractNumId w:val="6"/>
  </w:num>
  <w:num w:numId="8" w16cid:durableId="794904861">
    <w:abstractNumId w:val="13"/>
  </w:num>
  <w:num w:numId="9" w16cid:durableId="1527712611">
    <w:abstractNumId w:val="21"/>
  </w:num>
  <w:num w:numId="10" w16cid:durableId="1467704450">
    <w:abstractNumId w:val="23"/>
  </w:num>
  <w:num w:numId="11" w16cid:durableId="1551459042">
    <w:abstractNumId w:val="7"/>
  </w:num>
  <w:num w:numId="12" w16cid:durableId="1749421252">
    <w:abstractNumId w:val="25"/>
  </w:num>
  <w:num w:numId="13" w16cid:durableId="1978105464">
    <w:abstractNumId w:val="15"/>
  </w:num>
  <w:num w:numId="14" w16cid:durableId="1275016330">
    <w:abstractNumId w:val="24"/>
  </w:num>
  <w:num w:numId="15" w16cid:durableId="33311712">
    <w:abstractNumId w:val="4"/>
  </w:num>
  <w:num w:numId="16" w16cid:durableId="1414009653">
    <w:abstractNumId w:val="0"/>
  </w:num>
  <w:num w:numId="17" w16cid:durableId="1223372949">
    <w:abstractNumId w:val="17"/>
  </w:num>
  <w:num w:numId="18" w16cid:durableId="1968000236">
    <w:abstractNumId w:val="22"/>
    <w:lvlOverride w:ilvl="0">
      <w:lvl w:ilvl="0">
        <w:start w:val="1"/>
        <w:numFmt w:val="decimal"/>
        <w:lvlText w:val="%1."/>
        <w:lvlJc w:val="right"/>
        <w:pPr>
          <w:tabs>
            <w:tab w:val="num" w:pos="357"/>
          </w:tabs>
          <w:ind w:left="357" w:hanging="69"/>
        </w:pPr>
        <w:rPr>
          <w:rFonts w:hint="default"/>
          <w:b w:val="0"/>
          <w:bCs w:val="0"/>
          <w:color w:val="auto"/>
        </w:rPr>
      </w:lvl>
    </w:lvlOverride>
    <w:lvlOverride w:ilvl="1">
      <w:lvl w:ilvl="1">
        <w:start w:val="1"/>
        <w:numFmt w:val="decimal"/>
        <w:pStyle w:val="Heading2"/>
        <w:lvlText w:val="%1.%2"/>
        <w:lvlJc w:val="left"/>
        <w:pPr>
          <w:ind w:left="0" w:firstLine="0"/>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9" w16cid:durableId="735124549">
    <w:abstractNumId w:val="22"/>
    <w:lvlOverride w:ilvl="0">
      <w:lvl w:ilvl="0">
        <w:start w:val="4"/>
        <w:numFmt w:val="decimal"/>
        <w:lvlText w:val="%1."/>
        <w:lvlJc w:val="right"/>
        <w:pPr>
          <w:tabs>
            <w:tab w:val="num" w:pos="357"/>
          </w:tabs>
          <w:ind w:left="357" w:hanging="69"/>
        </w:pPr>
        <w:rPr>
          <w:rFonts w:hint="default"/>
          <w:b w:val="0"/>
          <w:bCs w:val="0"/>
          <w:color w:val="auto"/>
        </w:rPr>
      </w:lvl>
    </w:lvlOverride>
    <w:lvlOverride w:ilvl="1">
      <w:lvl w:ilvl="1">
        <w:start w:val="5"/>
        <w:numFmt w:val="decimal"/>
        <w:pStyle w:val="Heading2"/>
        <w:lvlText w:val="%1.%2"/>
        <w:lvlJc w:val="left"/>
        <w:pPr>
          <w:ind w:left="0" w:firstLine="0"/>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0" w16cid:durableId="1117602672">
    <w:abstractNumId w:val="5"/>
  </w:num>
  <w:num w:numId="21" w16cid:durableId="338239929">
    <w:abstractNumId w:val="5"/>
  </w:num>
  <w:num w:numId="22" w16cid:durableId="563567520">
    <w:abstractNumId w:val="3"/>
  </w:num>
  <w:num w:numId="23" w16cid:durableId="528836452">
    <w:abstractNumId w:val="3"/>
  </w:num>
  <w:num w:numId="24" w16cid:durableId="2041781467">
    <w:abstractNumId w:val="3"/>
  </w:num>
  <w:num w:numId="25" w16cid:durableId="1357930498">
    <w:abstractNumId w:val="3"/>
  </w:num>
  <w:num w:numId="26" w16cid:durableId="1163201165">
    <w:abstractNumId w:val="14"/>
  </w:num>
  <w:num w:numId="27" w16cid:durableId="2028174989">
    <w:abstractNumId w:val="12"/>
  </w:num>
  <w:num w:numId="28" w16cid:durableId="1249653726">
    <w:abstractNumId w:val="10"/>
  </w:num>
  <w:num w:numId="29" w16cid:durableId="2048918109">
    <w:abstractNumId w:val="11"/>
  </w:num>
  <w:num w:numId="30" w16cid:durableId="1507279811">
    <w:abstractNumId w:val="9"/>
  </w:num>
  <w:num w:numId="31" w16cid:durableId="2046520178">
    <w:abstractNumId w:val="18"/>
  </w:num>
  <w:num w:numId="32" w16cid:durableId="36391289">
    <w:abstractNumId w:val="8"/>
  </w:num>
  <w:num w:numId="33" w16cid:durableId="1047873436">
    <w:abstractNumId w:val="19"/>
  </w:num>
  <w:num w:numId="34" w16cid:durableId="2034719553">
    <w:abstractNumId w:val="2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0795"/>
    <w:rsid w:val="000002A5"/>
    <w:rsid w:val="00000756"/>
    <w:rsid w:val="00000A78"/>
    <w:rsid w:val="00000D83"/>
    <w:rsid w:val="00000DF3"/>
    <w:rsid w:val="00001018"/>
    <w:rsid w:val="00001119"/>
    <w:rsid w:val="00001ECA"/>
    <w:rsid w:val="00001F0C"/>
    <w:rsid w:val="00002B51"/>
    <w:rsid w:val="00002D38"/>
    <w:rsid w:val="00003A01"/>
    <w:rsid w:val="00003F3D"/>
    <w:rsid w:val="00003FFB"/>
    <w:rsid w:val="00004588"/>
    <w:rsid w:val="0000589F"/>
    <w:rsid w:val="00006041"/>
    <w:rsid w:val="0000628A"/>
    <w:rsid w:val="0000671B"/>
    <w:rsid w:val="00006A82"/>
    <w:rsid w:val="00006EC9"/>
    <w:rsid w:val="00007F05"/>
    <w:rsid w:val="00010875"/>
    <w:rsid w:val="00011219"/>
    <w:rsid w:val="00011308"/>
    <w:rsid w:val="00011A3A"/>
    <w:rsid w:val="000121F3"/>
    <w:rsid w:val="00012428"/>
    <w:rsid w:val="00012A75"/>
    <w:rsid w:val="00012ABF"/>
    <w:rsid w:val="00012E49"/>
    <w:rsid w:val="000136D8"/>
    <w:rsid w:val="00013AFA"/>
    <w:rsid w:val="00013E5F"/>
    <w:rsid w:val="00014E69"/>
    <w:rsid w:val="00015009"/>
    <w:rsid w:val="000153DF"/>
    <w:rsid w:val="00015D36"/>
    <w:rsid w:val="00015F4F"/>
    <w:rsid w:val="0001644E"/>
    <w:rsid w:val="00016B41"/>
    <w:rsid w:val="00016C9E"/>
    <w:rsid w:val="00016DBD"/>
    <w:rsid w:val="00017234"/>
    <w:rsid w:val="00020227"/>
    <w:rsid w:val="0002027A"/>
    <w:rsid w:val="000206FD"/>
    <w:rsid w:val="00020A59"/>
    <w:rsid w:val="00021BEE"/>
    <w:rsid w:val="00022667"/>
    <w:rsid w:val="00023099"/>
    <w:rsid w:val="000231CB"/>
    <w:rsid w:val="0002458D"/>
    <w:rsid w:val="00025065"/>
    <w:rsid w:val="00025A75"/>
    <w:rsid w:val="00025DDB"/>
    <w:rsid w:val="000268BD"/>
    <w:rsid w:val="000306E8"/>
    <w:rsid w:val="00030D94"/>
    <w:rsid w:val="000310E0"/>
    <w:rsid w:val="0003144F"/>
    <w:rsid w:val="00031738"/>
    <w:rsid w:val="00031779"/>
    <w:rsid w:val="00032440"/>
    <w:rsid w:val="00032C2C"/>
    <w:rsid w:val="00033C04"/>
    <w:rsid w:val="00034DF5"/>
    <w:rsid w:val="00035545"/>
    <w:rsid w:val="000355C5"/>
    <w:rsid w:val="00035748"/>
    <w:rsid w:val="00036039"/>
    <w:rsid w:val="00036562"/>
    <w:rsid w:val="00036951"/>
    <w:rsid w:val="000369D3"/>
    <w:rsid w:val="0003763E"/>
    <w:rsid w:val="00037799"/>
    <w:rsid w:val="000378FF"/>
    <w:rsid w:val="00037916"/>
    <w:rsid w:val="00037940"/>
    <w:rsid w:val="0004042F"/>
    <w:rsid w:val="000410D5"/>
    <w:rsid w:val="00041681"/>
    <w:rsid w:val="00041E31"/>
    <w:rsid w:val="00042DBB"/>
    <w:rsid w:val="00043C19"/>
    <w:rsid w:val="0004402C"/>
    <w:rsid w:val="00044BAC"/>
    <w:rsid w:val="00045B75"/>
    <w:rsid w:val="00045C1B"/>
    <w:rsid w:val="000471B5"/>
    <w:rsid w:val="00047C5E"/>
    <w:rsid w:val="00050A2F"/>
    <w:rsid w:val="00050A47"/>
    <w:rsid w:val="0005110F"/>
    <w:rsid w:val="00051DD5"/>
    <w:rsid w:val="000522B0"/>
    <w:rsid w:val="0005240D"/>
    <w:rsid w:val="00052C58"/>
    <w:rsid w:val="00052E7F"/>
    <w:rsid w:val="0005327B"/>
    <w:rsid w:val="000532C4"/>
    <w:rsid w:val="000533C2"/>
    <w:rsid w:val="000534E6"/>
    <w:rsid w:val="00053719"/>
    <w:rsid w:val="00053902"/>
    <w:rsid w:val="000539D8"/>
    <w:rsid w:val="00054073"/>
    <w:rsid w:val="000540B6"/>
    <w:rsid w:val="00054869"/>
    <w:rsid w:val="000549AC"/>
    <w:rsid w:val="00055228"/>
    <w:rsid w:val="00055707"/>
    <w:rsid w:val="000559A7"/>
    <w:rsid w:val="000574CA"/>
    <w:rsid w:val="00057ACE"/>
    <w:rsid w:val="00057C86"/>
    <w:rsid w:val="00057D81"/>
    <w:rsid w:val="0006032B"/>
    <w:rsid w:val="00060EB9"/>
    <w:rsid w:val="0006237E"/>
    <w:rsid w:val="000636E6"/>
    <w:rsid w:val="00063BBE"/>
    <w:rsid w:val="00064062"/>
    <w:rsid w:val="00064ACD"/>
    <w:rsid w:val="00064FA4"/>
    <w:rsid w:val="00064FA6"/>
    <w:rsid w:val="000654AA"/>
    <w:rsid w:val="00065A69"/>
    <w:rsid w:val="00065CA8"/>
    <w:rsid w:val="00066537"/>
    <w:rsid w:val="00066C46"/>
    <w:rsid w:val="00067614"/>
    <w:rsid w:val="00067868"/>
    <w:rsid w:val="0006790C"/>
    <w:rsid w:val="00067AF0"/>
    <w:rsid w:val="00067F3E"/>
    <w:rsid w:val="00067F4A"/>
    <w:rsid w:val="00070D54"/>
    <w:rsid w:val="00071417"/>
    <w:rsid w:val="00071599"/>
    <w:rsid w:val="000720EB"/>
    <w:rsid w:val="000721CC"/>
    <w:rsid w:val="000735CF"/>
    <w:rsid w:val="00073600"/>
    <w:rsid w:val="000738BC"/>
    <w:rsid w:val="00073BBB"/>
    <w:rsid w:val="0007542F"/>
    <w:rsid w:val="000757FE"/>
    <w:rsid w:val="00075A46"/>
    <w:rsid w:val="000762B2"/>
    <w:rsid w:val="00076452"/>
    <w:rsid w:val="0007711E"/>
    <w:rsid w:val="000775F9"/>
    <w:rsid w:val="00077B4D"/>
    <w:rsid w:val="00077DAB"/>
    <w:rsid w:val="0008081F"/>
    <w:rsid w:val="00081099"/>
    <w:rsid w:val="00081145"/>
    <w:rsid w:val="00082481"/>
    <w:rsid w:val="000834B8"/>
    <w:rsid w:val="0008458B"/>
    <w:rsid w:val="00086065"/>
    <w:rsid w:val="00086CE5"/>
    <w:rsid w:val="00090658"/>
    <w:rsid w:val="00090A1C"/>
    <w:rsid w:val="0009102E"/>
    <w:rsid w:val="0009158E"/>
    <w:rsid w:val="00091674"/>
    <w:rsid w:val="00092162"/>
    <w:rsid w:val="000926FB"/>
    <w:rsid w:val="0009314A"/>
    <w:rsid w:val="000939BF"/>
    <w:rsid w:val="00094A56"/>
    <w:rsid w:val="00095165"/>
    <w:rsid w:val="00095CD2"/>
    <w:rsid w:val="00096110"/>
    <w:rsid w:val="000964AD"/>
    <w:rsid w:val="00096EEF"/>
    <w:rsid w:val="00097513"/>
    <w:rsid w:val="00097FA9"/>
    <w:rsid w:val="000A05DC"/>
    <w:rsid w:val="000A08C3"/>
    <w:rsid w:val="000A22C6"/>
    <w:rsid w:val="000A22FF"/>
    <w:rsid w:val="000A2454"/>
    <w:rsid w:val="000A2B17"/>
    <w:rsid w:val="000A393E"/>
    <w:rsid w:val="000A3BED"/>
    <w:rsid w:val="000A3DE5"/>
    <w:rsid w:val="000A5209"/>
    <w:rsid w:val="000A5399"/>
    <w:rsid w:val="000A5953"/>
    <w:rsid w:val="000A5D8C"/>
    <w:rsid w:val="000A6279"/>
    <w:rsid w:val="000A627D"/>
    <w:rsid w:val="000A6573"/>
    <w:rsid w:val="000A6743"/>
    <w:rsid w:val="000A7132"/>
    <w:rsid w:val="000A74BB"/>
    <w:rsid w:val="000B07C9"/>
    <w:rsid w:val="000B09AC"/>
    <w:rsid w:val="000B0D51"/>
    <w:rsid w:val="000B126F"/>
    <w:rsid w:val="000B2B85"/>
    <w:rsid w:val="000B37D4"/>
    <w:rsid w:val="000B45F8"/>
    <w:rsid w:val="000B5809"/>
    <w:rsid w:val="000B62ED"/>
    <w:rsid w:val="000B6390"/>
    <w:rsid w:val="000B7058"/>
    <w:rsid w:val="000C017F"/>
    <w:rsid w:val="000C0AA0"/>
    <w:rsid w:val="000C346E"/>
    <w:rsid w:val="000C362A"/>
    <w:rsid w:val="000C422E"/>
    <w:rsid w:val="000C4DE7"/>
    <w:rsid w:val="000C5543"/>
    <w:rsid w:val="000C5C19"/>
    <w:rsid w:val="000C619F"/>
    <w:rsid w:val="000C6946"/>
    <w:rsid w:val="000C6ED9"/>
    <w:rsid w:val="000C6F1C"/>
    <w:rsid w:val="000C7717"/>
    <w:rsid w:val="000C7AD8"/>
    <w:rsid w:val="000C7F1A"/>
    <w:rsid w:val="000D036E"/>
    <w:rsid w:val="000D167F"/>
    <w:rsid w:val="000D177A"/>
    <w:rsid w:val="000D1E48"/>
    <w:rsid w:val="000D333E"/>
    <w:rsid w:val="000D3776"/>
    <w:rsid w:val="000D40C6"/>
    <w:rsid w:val="000D45A3"/>
    <w:rsid w:val="000D4D5C"/>
    <w:rsid w:val="000D5239"/>
    <w:rsid w:val="000D5332"/>
    <w:rsid w:val="000D546F"/>
    <w:rsid w:val="000D6530"/>
    <w:rsid w:val="000D659A"/>
    <w:rsid w:val="000D674D"/>
    <w:rsid w:val="000D6E30"/>
    <w:rsid w:val="000D6EF5"/>
    <w:rsid w:val="000D7F85"/>
    <w:rsid w:val="000E079B"/>
    <w:rsid w:val="000E09F7"/>
    <w:rsid w:val="000E0BF1"/>
    <w:rsid w:val="000E1496"/>
    <w:rsid w:val="000E1654"/>
    <w:rsid w:val="000E1881"/>
    <w:rsid w:val="000E1CC5"/>
    <w:rsid w:val="000E2A93"/>
    <w:rsid w:val="000E363E"/>
    <w:rsid w:val="000E5BB9"/>
    <w:rsid w:val="000E626C"/>
    <w:rsid w:val="000E77DC"/>
    <w:rsid w:val="000E79CE"/>
    <w:rsid w:val="000F015C"/>
    <w:rsid w:val="000F08C7"/>
    <w:rsid w:val="000F0F9A"/>
    <w:rsid w:val="000F11C8"/>
    <w:rsid w:val="000F15CD"/>
    <w:rsid w:val="000F1888"/>
    <w:rsid w:val="000F1D9B"/>
    <w:rsid w:val="000F33CB"/>
    <w:rsid w:val="000F3757"/>
    <w:rsid w:val="000F3E47"/>
    <w:rsid w:val="000F4670"/>
    <w:rsid w:val="000F4A70"/>
    <w:rsid w:val="000F53CD"/>
    <w:rsid w:val="000F705C"/>
    <w:rsid w:val="000F7783"/>
    <w:rsid w:val="000F7AFF"/>
    <w:rsid w:val="000F7B47"/>
    <w:rsid w:val="000F7C83"/>
    <w:rsid w:val="0010063D"/>
    <w:rsid w:val="001007A9"/>
    <w:rsid w:val="001015F0"/>
    <w:rsid w:val="001016D3"/>
    <w:rsid w:val="001056D1"/>
    <w:rsid w:val="00105776"/>
    <w:rsid w:val="001065B4"/>
    <w:rsid w:val="001074F1"/>
    <w:rsid w:val="00110119"/>
    <w:rsid w:val="001101D8"/>
    <w:rsid w:val="0011025A"/>
    <w:rsid w:val="00110D60"/>
    <w:rsid w:val="001126F2"/>
    <w:rsid w:val="00112781"/>
    <w:rsid w:val="00112B35"/>
    <w:rsid w:val="00112C9A"/>
    <w:rsid w:val="00112E9D"/>
    <w:rsid w:val="00112FD2"/>
    <w:rsid w:val="00113046"/>
    <w:rsid w:val="001133CB"/>
    <w:rsid w:val="00114810"/>
    <w:rsid w:val="00114EC6"/>
    <w:rsid w:val="00114F34"/>
    <w:rsid w:val="001150E6"/>
    <w:rsid w:val="00115264"/>
    <w:rsid w:val="00115D4C"/>
    <w:rsid w:val="00115D84"/>
    <w:rsid w:val="00116044"/>
    <w:rsid w:val="00116059"/>
    <w:rsid w:val="001167F2"/>
    <w:rsid w:val="0011690A"/>
    <w:rsid w:val="00116ED3"/>
    <w:rsid w:val="00117109"/>
    <w:rsid w:val="00117116"/>
    <w:rsid w:val="00117121"/>
    <w:rsid w:val="00117743"/>
    <w:rsid w:val="00117843"/>
    <w:rsid w:val="00117941"/>
    <w:rsid w:val="00117FA5"/>
    <w:rsid w:val="00120B3E"/>
    <w:rsid w:val="00120D24"/>
    <w:rsid w:val="00120F87"/>
    <w:rsid w:val="001219FA"/>
    <w:rsid w:val="00121D98"/>
    <w:rsid w:val="00121E44"/>
    <w:rsid w:val="00122DD3"/>
    <w:rsid w:val="001237C1"/>
    <w:rsid w:val="00123988"/>
    <w:rsid w:val="00123C3C"/>
    <w:rsid w:val="0012463A"/>
    <w:rsid w:val="00125ED9"/>
    <w:rsid w:val="00125EEC"/>
    <w:rsid w:val="00126096"/>
    <w:rsid w:val="00126126"/>
    <w:rsid w:val="001264A1"/>
    <w:rsid w:val="0012668C"/>
    <w:rsid w:val="00126710"/>
    <w:rsid w:val="0012711F"/>
    <w:rsid w:val="0012762E"/>
    <w:rsid w:val="00127FD7"/>
    <w:rsid w:val="0013058D"/>
    <w:rsid w:val="0013162D"/>
    <w:rsid w:val="00131AFD"/>
    <w:rsid w:val="001320A7"/>
    <w:rsid w:val="00132F90"/>
    <w:rsid w:val="00133A19"/>
    <w:rsid w:val="001340BC"/>
    <w:rsid w:val="001346EF"/>
    <w:rsid w:val="0013472B"/>
    <w:rsid w:val="00134815"/>
    <w:rsid w:val="00134D76"/>
    <w:rsid w:val="00135681"/>
    <w:rsid w:val="00135B6F"/>
    <w:rsid w:val="00135CE4"/>
    <w:rsid w:val="00135DD4"/>
    <w:rsid w:val="0013601D"/>
    <w:rsid w:val="001365E6"/>
    <w:rsid w:val="00136E2C"/>
    <w:rsid w:val="001372ED"/>
    <w:rsid w:val="00137BFF"/>
    <w:rsid w:val="001402B6"/>
    <w:rsid w:val="0014124E"/>
    <w:rsid w:val="0014226D"/>
    <w:rsid w:val="00142AF9"/>
    <w:rsid w:val="00142F7F"/>
    <w:rsid w:val="00143428"/>
    <w:rsid w:val="001435A6"/>
    <w:rsid w:val="00144172"/>
    <w:rsid w:val="001449BC"/>
    <w:rsid w:val="00145720"/>
    <w:rsid w:val="0014640B"/>
    <w:rsid w:val="00146BD5"/>
    <w:rsid w:val="00146F5C"/>
    <w:rsid w:val="00147018"/>
    <w:rsid w:val="00147389"/>
    <w:rsid w:val="001478D9"/>
    <w:rsid w:val="00147984"/>
    <w:rsid w:val="001502E8"/>
    <w:rsid w:val="00150DE6"/>
    <w:rsid w:val="0015159E"/>
    <w:rsid w:val="00151685"/>
    <w:rsid w:val="001527F3"/>
    <w:rsid w:val="00152A00"/>
    <w:rsid w:val="00152B0D"/>
    <w:rsid w:val="00152B35"/>
    <w:rsid w:val="0015314A"/>
    <w:rsid w:val="00154677"/>
    <w:rsid w:val="00155094"/>
    <w:rsid w:val="00156BE4"/>
    <w:rsid w:val="0015750E"/>
    <w:rsid w:val="001603A1"/>
    <w:rsid w:val="001603EB"/>
    <w:rsid w:val="00160D27"/>
    <w:rsid w:val="00160F5F"/>
    <w:rsid w:val="001616BC"/>
    <w:rsid w:val="00161B0D"/>
    <w:rsid w:val="00161B5C"/>
    <w:rsid w:val="00161EBF"/>
    <w:rsid w:val="001624FF"/>
    <w:rsid w:val="001635B1"/>
    <w:rsid w:val="001642BB"/>
    <w:rsid w:val="00164A0E"/>
    <w:rsid w:val="00164F68"/>
    <w:rsid w:val="0016533F"/>
    <w:rsid w:val="001654F0"/>
    <w:rsid w:val="001656F1"/>
    <w:rsid w:val="001657B4"/>
    <w:rsid w:val="00165BE7"/>
    <w:rsid w:val="001663D9"/>
    <w:rsid w:val="00166473"/>
    <w:rsid w:val="001664AF"/>
    <w:rsid w:val="001664CB"/>
    <w:rsid w:val="00167AE4"/>
    <w:rsid w:val="00167BC1"/>
    <w:rsid w:val="00167FF0"/>
    <w:rsid w:val="00170090"/>
    <w:rsid w:val="001705F6"/>
    <w:rsid w:val="00170657"/>
    <w:rsid w:val="00170FEC"/>
    <w:rsid w:val="00171242"/>
    <w:rsid w:val="001719FB"/>
    <w:rsid w:val="00171DB7"/>
    <w:rsid w:val="00173601"/>
    <w:rsid w:val="00174639"/>
    <w:rsid w:val="00174C02"/>
    <w:rsid w:val="001751DA"/>
    <w:rsid w:val="00175269"/>
    <w:rsid w:val="001753B2"/>
    <w:rsid w:val="00175A7F"/>
    <w:rsid w:val="00176105"/>
    <w:rsid w:val="00177980"/>
    <w:rsid w:val="001779DF"/>
    <w:rsid w:val="00177DB2"/>
    <w:rsid w:val="001802F1"/>
    <w:rsid w:val="00182403"/>
    <w:rsid w:val="0018245C"/>
    <w:rsid w:val="001825B1"/>
    <w:rsid w:val="001830AF"/>
    <w:rsid w:val="001833ED"/>
    <w:rsid w:val="001836CA"/>
    <w:rsid w:val="001840F6"/>
    <w:rsid w:val="00184352"/>
    <w:rsid w:val="001844F1"/>
    <w:rsid w:val="0018501F"/>
    <w:rsid w:val="00185415"/>
    <w:rsid w:val="00185D31"/>
    <w:rsid w:val="00185D56"/>
    <w:rsid w:val="00185DF9"/>
    <w:rsid w:val="00186A43"/>
    <w:rsid w:val="00190965"/>
    <w:rsid w:val="0019194A"/>
    <w:rsid w:val="00192A17"/>
    <w:rsid w:val="00192F5F"/>
    <w:rsid w:val="00193028"/>
    <w:rsid w:val="00193CFC"/>
    <w:rsid w:val="001941DA"/>
    <w:rsid w:val="001949E9"/>
    <w:rsid w:val="00194E15"/>
    <w:rsid w:val="00195BD7"/>
    <w:rsid w:val="001960E8"/>
    <w:rsid w:val="0019632C"/>
    <w:rsid w:val="00196B12"/>
    <w:rsid w:val="001A022E"/>
    <w:rsid w:val="001A0A2C"/>
    <w:rsid w:val="001A0A93"/>
    <w:rsid w:val="001A0F98"/>
    <w:rsid w:val="001A1908"/>
    <w:rsid w:val="001A36AA"/>
    <w:rsid w:val="001A37F8"/>
    <w:rsid w:val="001A5E1D"/>
    <w:rsid w:val="001A5EE9"/>
    <w:rsid w:val="001A651D"/>
    <w:rsid w:val="001A68C3"/>
    <w:rsid w:val="001A6FFB"/>
    <w:rsid w:val="001A72D0"/>
    <w:rsid w:val="001A77C8"/>
    <w:rsid w:val="001A7C11"/>
    <w:rsid w:val="001B03E2"/>
    <w:rsid w:val="001B0D7C"/>
    <w:rsid w:val="001B0F6A"/>
    <w:rsid w:val="001B1437"/>
    <w:rsid w:val="001B160E"/>
    <w:rsid w:val="001B1DEC"/>
    <w:rsid w:val="001B25AB"/>
    <w:rsid w:val="001B374E"/>
    <w:rsid w:val="001B3E7A"/>
    <w:rsid w:val="001B4058"/>
    <w:rsid w:val="001B451D"/>
    <w:rsid w:val="001B5D7B"/>
    <w:rsid w:val="001B63A4"/>
    <w:rsid w:val="001B699F"/>
    <w:rsid w:val="001B6D29"/>
    <w:rsid w:val="001B6E19"/>
    <w:rsid w:val="001B7CB6"/>
    <w:rsid w:val="001B7EE4"/>
    <w:rsid w:val="001C16F9"/>
    <w:rsid w:val="001C17A7"/>
    <w:rsid w:val="001C1849"/>
    <w:rsid w:val="001C1E60"/>
    <w:rsid w:val="001C2654"/>
    <w:rsid w:val="001C4300"/>
    <w:rsid w:val="001C4388"/>
    <w:rsid w:val="001C4AD5"/>
    <w:rsid w:val="001C5AD9"/>
    <w:rsid w:val="001C5C73"/>
    <w:rsid w:val="001C6658"/>
    <w:rsid w:val="001C6952"/>
    <w:rsid w:val="001C6E4E"/>
    <w:rsid w:val="001C77E9"/>
    <w:rsid w:val="001C7A47"/>
    <w:rsid w:val="001D0034"/>
    <w:rsid w:val="001D064C"/>
    <w:rsid w:val="001D07F2"/>
    <w:rsid w:val="001D116F"/>
    <w:rsid w:val="001D1756"/>
    <w:rsid w:val="001D1876"/>
    <w:rsid w:val="001D19F7"/>
    <w:rsid w:val="001D265B"/>
    <w:rsid w:val="001D2B4D"/>
    <w:rsid w:val="001D2BC6"/>
    <w:rsid w:val="001D2BD4"/>
    <w:rsid w:val="001D3043"/>
    <w:rsid w:val="001D307B"/>
    <w:rsid w:val="001D362E"/>
    <w:rsid w:val="001D4870"/>
    <w:rsid w:val="001D4913"/>
    <w:rsid w:val="001D4C14"/>
    <w:rsid w:val="001D6153"/>
    <w:rsid w:val="001D6177"/>
    <w:rsid w:val="001D7197"/>
    <w:rsid w:val="001E014A"/>
    <w:rsid w:val="001E08C7"/>
    <w:rsid w:val="001E123F"/>
    <w:rsid w:val="001E1BFF"/>
    <w:rsid w:val="001E29C4"/>
    <w:rsid w:val="001E3806"/>
    <w:rsid w:val="001E40BC"/>
    <w:rsid w:val="001E5692"/>
    <w:rsid w:val="001E6716"/>
    <w:rsid w:val="001E70D3"/>
    <w:rsid w:val="001E7174"/>
    <w:rsid w:val="001E7699"/>
    <w:rsid w:val="001E7776"/>
    <w:rsid w:val="001E7E2A"/>
    <w:rsid w:val="001F0058"/>
    <w:rsid w:val="001F05E8"/>
    <w:rsid w:val="001F061B"/>
    <w:rsid w:val="001F1C67"/>
    <w:rsid w:val="001F21B1"/>
    <w:rsid w:val="001F21DC"/>
    <w:rsid w:val="001F28E1"/>
    <w:rsid w:val="001F2D03"/>
    <w:rsid w:val="001F328F"/>
    <w:rsid w:val="001F3885"/>
    <w:rsid w:val="001F4BDD"/>
    <w:rsid w:val="001F5397"/>
    <w:rsid w:val="001F6BEC"/>
    <w:rsid w:val="001F7253"/>
    <w:rsid w:val="001F7A91"/>
    <w:rsid w:val="001F7B3A"/>
    <w:rsid w:val="00200548"/>
    <w:rsid w:val="002009EC"/>
    <w:rsid w:val="00200F18"/>
    <w:rsid w:val="00201012"/>
    <w:rsid w:val="002016BC"/>
    <w:rsid w:val="00203364"/>
    <w:rsid w:val="00204008"/>
    <w:rsid w:val="002047C9"/>
    <w:rsid w:val="00205182"/>
    <w:rsid w:val="00205376"/>
    <w:rsid w:val="00205390"/>
    <w:rsid w:val="002053F4"/>
    <w:rsid w:val="00206A92"/>
    <w:rsid w:val="00206D6D"/>
    <w:rsid w:val="00207BC4"/>
    <w:rsid w:val="00210FE6"/>
    <w:rsid w:val="002111E7"/>
    <w:rsid w:val="002119A5"/>
    <w:rsid w:val="0021212D"/>
    <w:rsid w:val="002134F2"/>
    <w:rsid w:val="0021360D"/>
    <w:rsid w:val="002141E2"/>
    <w:rsid w:val="002142C5"/>
    <w:rsid w:val="002157B5"/>
    <w:rsid w:val="0021676A"/>
    <w:rsid w:val="0021698A"/>
    <w:rsid w:val="002170FF"/>
    <w:rsid w:val="00217133"/>
    <w:rsid w:val="002171D4"/>
    <w:rsid w:val="002177FC"/>
    <w:rsid w:val="00217937"/>
    <w:rsid w:val="0022147F"/>
    <w:rsid w:val="00221F7A"/>
    <w:rsid w:val="002230F7"/>
    <w:rsid w:val="002236AD"/>
    <w:rsid w:val="00224B12"/>
    <w:rsid w:val="00224EB5"/>
    <w:rsid w:val="00225298"/>
    <w:rsid w:val="00226305"/>
    <w:rsid w:val="00226A26"/>
    <w:rsid w:val="00226B97"/>
    <w:rsid w:val="00226BEF"/>
    <w:rsid w:val="00227203"/>
    <w:rsid w:val="00230803"/>
    <w:rsid w:val="00230E16"/>
    <w:rsid w:val="002311F9"/>
    <w:rsid w:val="00231792"/>
    <w:rsid w:val="00231D45"/>
    <w:rsid w:val="00232792"/>
    <w:rsid w:val="0023386E"/>
    <w:rsid w:val="0023404F"/>
    <w:rsid w:val="00234628"/>
    <w:rsid w:val="00234904"/>
    <w:rsid w:val="00234A14"/>
    <w:rsid w:val="00234E89"/>
    <w:rsid w:val="00235003"/>
    <w:rsid w:val="002353C5"/>
    <w:rsid w:val="002356F9"/>
    <w:rsid w:val="002357F9"/>
    <w:rsid w:val="00235818"/>
    <w:rsid w:val="00235F33"/>
    <w:rsid w:val="00236173"/>
    <w:rsid w:val="00236549"/>
    <w:rsid w:val="00236D02"/>
    <w:rsid w:val="00237246"/>
    <w:rsid w:val="00237558"/>
    <w:rsid w:val="00237AEA"/>
    <w:rsid w:val="0024034E"/>
    <w:rsid w:val="00240BD3"/>
    <w:rsid w:val="00241180"/>
    <w:rsid w:val="0024242B"/>
    <w:rsid w:val="00242430"/>
    <w:rsid w:val="00243BDB"/>
    <w:rsid w:val="00244CC5"/>
    <w:rsid w:val="00245537"/>
    <w:rsid w:val="00246A3D"/>
    <w:rsid w:val="00246FED"/>
    <w:rsid w:val="00247076"/>
    <w:rsid w:val="00247110"/>
    <w:rsid w:val="00247417"/>
    <w:rsid w:val="0024747A"/>
    <w:rsid w:val="002506E9"/>
    <w:rsid w:val="002507C5"/>
    <w:rsid w:val="0025089D"/>
    <w:rsid w:val="00250BAF"/>
    <w:rsid w:val="00250D89"/>
    <w:rsid w:val="00251F6E"/>
    <w:rsid w:val="00252D5B"/>
    <w:rsid w:val="0025341D"/>
    <w:rsid w:val="0025419A"/>
    <w:rsid w:val="00254252"/>
    <w:rsid w:val="00254865"/>
    <w:rsid w:val="00255417"/>
    <w:rsid w:val="0025546A"/>
    <w:rsid w:val="00255E89"/>
    <w:rsid w:val="00256D70"/>
    <w:rsid w:val="002572C9"/>
    <w:rsid w:val="00257853"/>
    <w:rsid w:val="00257895"/>
    <w:rsid w:val="002578D6"/>
    <w:rsid w:val="00257F71"/>
    <w:rsid w:val="002609CB"/>
    <w:rsid w:val="00260D92"/>
    <w:rsid w:val="0026168A"/>
    <w:rsid w:val="00261C85"/>
    <w:rsid w:val="0026281E"/>
    <w:rsid w:val="002629EC"/>
    <w:rsid w:val="00263D57"/>
    <w:rsid w:val="00264B2E"/>
    <w:rsid w:val="00265007"/>
    <w:rsid w:val="00265138"/>
    <w:rsid w:val="00265644"/>
    <w:rsid w:val="002657F7"/>
    <w:rsid w:val="00265BB7"/>
    <w:rsid w:val="00265EE6"/>
    <w:rsid w:val="00266721"/>
    <w:rsid w:val="002669B6"/>
    <w:rsid w:val="00266B93"/>
    <w:rsid w:val="00267349"/>
    <w:rsid w:val="00267BE6"/>
    <w:rsid w:val="0027069D"/>
    <w:rsid w:val="002708D4"/>
    <w:rsid w:val="00270958"/>
    <w:rsid w:val="00270C39"/>
    <w:rsid w:val="002712BB"/>
    <w:rsid w:val="00271441"/>
    <w:rsid w:val="002715A8"/>
    <w:rsid w:val="00272173"/>
    <w:rsid w:val="00272266"/>
    <w:rsid w:val="00275DF1"/>
    <w:rsid w:val="00275FBF"/>
    <w:rsid w:val="00275FD3"/>
    <w:rsid w:val="002763E8"/>
    <w:rsid w:val="0027711C"/>
    <w:rsid w:val="00277A6B"/>
    <w:rsid w:val="00277B5E"/>
    <w:rsid w:val="00277B82"/>
    <w:rsid w:val="002801CE"/>
    <w:rsid w:val="00280265"/>
    <w:rsid w:val="0028097D"/>
    <w:rsid w:val="00280D94"/>
    <w:rsid w:val="00281114"/>
    <w:rsid w:val="0028197E"/>
    <w:rsid w:val="0028256D"/>
    <w:rsid w:val="002826DD"/>
    <w:rsid w:val="0028278D"/>
    <w:rsid w:val="00282A8A"/>
    <w:rsid w:val="00283479"/>
    <w:rsid w:val="00283ECC"/>
    <w:rsid w:val="002840ED"/>
    <w:rsid w:val="00284E8A"/>
    <w:rsid w:val="00284FB6"/>
    <w:rsid w:val="0028509E"/>
    <w:rsid w:val="00285317"/>
    <w:rsid w:val="0028572B"/>
    <w:rsid w:val="00286D5D"/>
    <w:rsid w:val="00287951"/>
    <w:rsid w:val="00287C7A"/>
    <w:rsid w:val="00290068"/>
    <w:rsid w:val="002909B8"/>
    <w:rsid w:val="00290AEA"/>
    <w:rsid w:val="00291142"/>
    <w:rsid w:val="00291BF1"/>
    <w:rsid w:val="0029226E"/>
    <w:rsid w:val="002929EE"/>
    <w:rsid w:val="0029397F"/>
    <w:rsid w:val="00293A46"/>
    <w:rsid w:val="00294AAC"/>
    <w:rsid w:val="002954A8"/>
    <w:rsid w:val="00295789"/>
    <w:rsid w:val="00295B7D"/>
    <w:rsid w:val="00297124"/>
    <w:rsid w:val="0029721D"/>
    <w:rsid w:val="002974CC"/>
    <w:rsid w:val="0029758C"/>
    <w:rsid w:val="00297B08"/>
    <w:rsid w:val="00297BFC"/>
    <w:rsid w:val="002A00C6"/>
    <w:rsid w:val="002A03F9"/>
    <w:rsid w:val="002A2277"/>
    <w:rsid w:val="002A3323"/>
    <w:rsid w:val="002A355B"/>
    <w:rsid w:val="002A3FF2"/>
    <w:rsid w:val="002A4305"/>
    <w:rsid w:val="002A47F6"/>
    <w:rsid w:val="002A4FF5"/>
    <w:rsid w:val="002A5CFA"/>
    <w:rsid w:val="002A5E9C"/>
    <w:rsid w:val="002A5F37"/>
    <w:rsid w:val="002A74B9"/>
    <w:rsid w:val="002A750B"/>
    <w:rsid w:val="002A76EA"/>
    <w:rsid w:val="002B0436"/>
    <w:rsid w:val="002B0818"/>
    <w:rsid w:val="002B1D21"/>
    <w:rsid w:val="002B218D"/>
    <w:rsid w:val="002B263F"/>
    <w:rsid w:val="002B34DC"/>
    <w:rsid w:val="002B45C6"/>
    <w:rsid w:val="002B4833"/>
    <w:rsid w:val="002B519A"/>
    <w:rsid w:val="002B551C"/>
    <w:rsid w:val="002B5B88"/>
    <w:rsid w:val="002B605C"/>
    <w:rsid w:val="002B60E9"/>
    <w:rsid w:val="002B610A"/>
    <w:rsid w:val="002B68CF"/>
    <w:rsid w:val="002B7337"/>
    <w:rsid w:val="002B73C6"/>
    <w:rsid w:val="002C0012"/>
    <w:rsid w:val="002C03F6"/>
    <w:rsid w:val="002C3BC0"/>
    <w:rsid w:val="002C3FDB"/>
    <w:rsid w:val="002C436D"/>
    <w:rsid w:val="002C4BC2"/>
    <w:rsid w:val="002C533D"/>
    <w:rsid w:val="002C5537"/>
    <w:rsid w:val="002C602F"/>
    <w:rsid w:val="002C6F9B"/>
    <w:rsid w:val="002D004A"/>
    <w:rsid w:val="002D0CA2"/>
    <w:rsid w:val="002D2B9E"/>
    <w:rsid w:val="002D2F92"/>
    <w:rsid w:val="002D324A"/>
    <w:rsid w:val="002D34BC"/>
    <w:rsid w:val="002D426A"/>
    <w:rsid w:val="002D4365"/>
    <w:rsid w:val="002D4748"/>
    <w:rsid w:val="002D54D2"/>
    <w:rsid w:val="002D5D40"/>
    <w:rsid w:val="002D6418"/>
    <w:rsid w:val="002D6776"/>
    <w:rsid w:val="002D7A5C"/>
    <w:rsid w:val="002E0615"/>
    <w:rsid w:val="002E0BF8"/>
    <w:rsid w:val="002E1648"/>
    <w:rsid w:val="002E1A2D"/>
    <w:rsid w:val="002E2D86"/>
    <w:rsid w:val="002E35BC"/>
    <w:rsid w:val="002E35F3"/>
    <w:rsid w:val="002E39A2"/>
    <w:rsid w:val="002E3ABF"/>
    <w:rsid w:val="002E4085"/>
    <w:rsid w:val="002E42F6"/>
    <w:rsid w:val="002E4543"/>
    <w:rsid w:val="002E4C4B"/>
    <w:rsid w:val="002E4EB2"/>
    <w:rsid w:val="002E4F2C"/>
    <w:rsid w:val="002E53EE"/>
    <w:rsid w:val="002E546B"/>
    <w:rsid w:val="002E6257"/>
    <w:rsid w:val="002E68D2"/>
    <w:rsid w:val="002E6B89"/>
    <w:rsid w:val="002F053D"/>
    <w:rsid w:val="002F0710"/>
    <w:rsid w:val="002F0864"/>
    <w:rsid w:val="002F0B1D"/>
    <w:rsid w:val="002F1257"/>
    <w:rsid w:val="002F129F"/>
    <w:rsid w:val="002F1DAA"/>
    <w:rsid w:val="002F2D5D"/>
    <w:rsid w:val="002F31A7"/>
    <w:rsid w:val="002F31DC"/>
    <w:rsid w:val="002F3A75"/>
    <w:rsid w:val="002F401B"/>
    <w:rsid w:val="002F4A2B"/>
    <w:rsid w:val="002F5C0A"/>
    <w:rsid w:val="002F5CB6"/>
    <w:rsid w:val="002F5FA2"/>
    <w:rsid w:val="002F5FD9"/>
    <w:rsid w:val="002F6445"/>
    <w:rsid w:val="002F70CE"/>
    <w:rsid w:val="002F7A15"/>
    <w:rsid w:val="0030113E"/>
    <w:rsid w:val="003012AF"/>
    <w:rsid w:val="00301F71"/>
    <w:rsid w:val="0030326B"/>
    <w:rsid w:val="00304299"/>
    <w:rsid w:val="00304408"/>
    <w:rsid w:val="00305625"/>
    <w:rsid w:val="00305D42"/>
    <w:rsid w:val="003062E5"/>
    <w:rsid w:val="00306427"/>
    <w:rsid w:val="0030679D"/>
    <w:rsid w:val="00306AB6"/>
    <w:rsid w:val="00306FE4"/>
    <w:rsid w:val="00307081"/>
    <w:rsid w:val="00307A20"/>
    <w:rsid w:val="00307B0C"/>
    <w:rsid w:val="003100AA"/>
    <w:rsid w:val="00310741"/>
    <w:rsid w:val="00310FC9"/>
    <w:rsid w:val="003112D7"/>
    <w:rsid w:val="00313F82"/>
    <w:rsid w:val="00314870"/>
    <w:rsid w:val="00315ECC"/>
    <w:rsid w:val="00316124"/>
    <w:rsid w:val="00316376"/>
    <w:rsid w:val="00316458"/>
    <w:rsid w:val="003164A0"/>
    <w:rsid w:val="00316971"/>
    <w:rsid w:val="00316FAA"/>
    <w:rsid w:val="0031780F"/>
    <w:rsid w:val="00320295"/>
    <w:rsid w:val="00320D1E"/>
    <w:rsid w:val="0032114C"/>
    <w:rsid w:val="0032130D"/>
    <w:rsid w:val="0032242E"/>
    <w:rsid w:val="00322495"/>
    <w:rsid w:val="0032347A"/>
    <w:rsid w:val="0032357A"/>
    <w:rsid w:val="0032358A"/>
    <w:rsid w:val="003243A1"/>
    <w:rsid w:val="003243D8"/>
    <w:rsid w:val="00324F18"/>
    <w:rsid w:val="00325037"/>
    <w:rsid w:val="0032604A"/>
    <w:rsid w:val="0032623A"/>
    <w:rsid w:val="0032634F"/>
    <w:rsid w:val="003263E6"/>
    <w:rsid w:val="00326AF1"/>
    <w:rsid w:val="003300DE"/>
    <w:rsid w:val="00330652"/>
    <w:rsid w:val="00330965"/>
    <w:rsid w:val="00330F09"/>
    <w:rsid w:val="00331985"/>
    <w:rsid w:val="00331A80"/>
    <w:rsid w:val="00331C20"/>
    <w:rsid w:val="00331DFE"/>
    <w:rsid w:val="00332439"/>
    <w:rsid w:val="00332D19"/>
    <w:rsid w:val="00332EC5"/>
    <w:rsid w:val="00335408"/>
    <w:rsid w:val="00335E74"/>
    <w:rsid w:val="003369CB"/>
    <w:rsid w:val="00337508"/>
    <w:rsid w:val="00337F05"/>
    <w:rsid w:val="00341D3C"/>
    <w:rsid w:val="00342012"/>
    <w:rsid w:val="003428D2"/>
    <w:rsid w:val="00342A7E"/>
    <w:rsid w:val="00342C78"/>
    <w:rsid w:val="00342D96"/>
    <w:rsid w:val="003438F6"/>
    <w:rsid w:val="00343A5F"/>
    <w:rsid w:val="00343A87"/>
    <w:rsid w:val="00343BC4"/>
    <w:rsid w:val="00343E52"/>
    <w:rsid w:val="00344951"/>
    <w:rsid w:val="00345740"/>
    <w:rsid w:val="003457EC"/>
    <w:rsid w:val="003475BC"/>
    <w:rsid w:val="003501CC"/>
    <w:rsid w:val="003501E4"/>
    <w:rsid w:val="003502DB"/>
    <w:rsid w:val="003504F1"/>
    <w:rsid w:val="00352461"/>
    <w:rsid w:val="00352738"/>
    <w:rsid w:val="00352749"/>
    <w:rsid w:val="00352D4D"/>
    <w:rsid w:val="00353405"/>
    <w:rsid w:val="00354028"/>
    <w:rsid w:val="00354C42"/>
    <w:rsid w:val="00355E7A"/>
    <w:rsid w:val="00356258"/>
    <w:rsid w:val="003567B5"/>
    <w:rsid w:val="00356AB3"/>
    <w:rsid w:val="00356C58"/>
    <w:rsid w:val="00356F76"/>
    <w:rsid w:val="00357549"/>
    <w:rsid w:val="003577B3"/>
    <w:rsid w:val="003604C1"/>
    <w:rsid w:val="003606CB"/>
    <w:rsid w:val="00361ED1"/>
    <w:rsid w:val="00362663"/>
    <w:rsid w:val="0036361D"/>
    <w:rsid w:val="00363BBA"/>
    <w:rsid w:val="00364DF9"/>
    <w:rsid w:val="00365B4E"/>
    <w:rsid w:val="00365ED1"/>
    <w:rsid w:val="00365F67"/>
    <w:rsid w:val="0036653E"/>
    <w:rsid w:val="00366B9D"/>
    <w:rsid w:val="00366BAF"/>
    <w:rsid w:val="003670CD"/>
    <w:rsid w:val="003671EB"/>
    <w:rsid w:val="0036786C"/>
    <w:rsid w:val="0036790A"/>
    <w:rsid w:val="003679A4"/>
    <w:rsid w:val="003702EB"/>
    <w:rsid w:val="0037073D"/>
    <w:rsid w:val="00370785"/>
    <w:rsid w:val="003713FC"/>
    <w:rsid w:val="003714D9"/>
    <w:rsid w:val="003717AC"/>
    <w:rsid w:val="00371BF0"/>
    <w:rsid w:val="00373B7F"/>
    <w:rsid w:val="00374CC9"/>
    <w:rsid w:val="0037511D"/>
    <w:rsid w:val="00375269"/>
    <w:rsid w:val="003767C8"/>
    <w:rsid w:val="00376BFD"/>
    <w:rsid w:val="00377023"/>
    <w:rsid w:val="003774E2"/>
    <w:rsid w:val="00377DF2"/>
    <w:rsid w:val="00377ED5"/>
    <w:rsid w:val="003803FE"/>
    <w:rsid w:val="00380B1F"/>
    <w:rsid w:val="00381E94"/>
    <w:rsid w:val="003821A2"/>
    <w:rsid w:val="003829E9"/>
    <w:rsid w:val="00382D49"/>
    <w:rsid w:val="003834BB"/>
    <w:rsid w:val="00383609"/>
    <w:rsid w:val="00385887"/>
    <w:rsid w:val="0038624A"/>
    <w:rsid w:val="003868CD"/>
    <w:rsid w:val="00387A8B"/>
    <w:rsid w:val="00387DD4"/>
    <w:rsid w:val="00387F9F"/>
    <w:rsid w:val="00390874"/>
    <w:rsid w:val="00390AE7"/>
    <w:rsid w:val="00390F8E"/>
    <w:rsid w:val="003916A0"/>
    <w:rsid w:val="003917B1"/>
    <w:rsid w:val="00394BEB"/>
    <w:rsid w:val="00394FFF"/>
    <w:rsid w:val="00395EE3"/>
    <w:rsid w:val="003967A7"/>
    <w:rsid w:val="003967AE"/>
    <w:rsid w:val="00397428"/>
    <w:rsid w:val="00397543"/>
    <w:rsid w:val="00397AAB"/>
    <w:rsid w:val="00397C5A"/>
    <w:rsid w:val="00397DC3"/>
    <w:rsid w:val="003A19BA"/>
    <w:rsid w:val="003A1FD2"/>
    <w:rsid w:val="003A241E"/>
    <w:rsid w:val="003A313C"/>
    <w:rsid w:val="003A3DD7"/>
    <w:rsid w:val="003A5A35"/>
    <w:rsid w:val="003A5AA6"/>
    <w:rsid w:val="003A6F51"/>
    <w:rsid w:val="003A71DB"/>
    <w:rsid w:val="003A7A81"/>
    <w:rsid w:val="003A7BE7"/>
    <w:rsid w:val="003A7C51"/>
    <w:rsid w:val="003A7E85"/>
    <w:rsid w:val="003B04C7"/>
    <w:rsid w:val="003B05AA"/>
    <w:rsid w:val="003B069F"/>
    <w:rsid w:val="003B106E"/>
    <w:rsid w:val="003B12F3"/>
    <w:rsid w:val="003B19F5"/>
    <w:rsid w:val="003B3F8F"/>
    <w:rsid w:val="003B6229"/>
    <w:rsid w:val="003B764F"/>
    <w:rsid w:val="003C085C"/>
    <w:rsid w:val="003C0D9A"/>
    <w:rsid w:val="003C19A9"/>
    <w:rsid w:val="003C3040"/>
    <w:rsid w:val="003C31B4"/>
    <w:rsid w:val="003C3770"/>
    <w:rsid w:val="003C3840"/>
    <w:rsid w:val="003C3CCE"/>
    <w:rsid w:val="003C54A6"/>
    <w:rsid w:val="003C5A77"/>
    <w:rsid w:val="003C6AC8"/>
    <w:rsid w:val="003C705E"/>
    <w:rsid w:val="003C7352"/>
    <w:rsid w:val="003C7F77"/>
    <w:rsid w:val="003D0188"/>
    <w:rsid w:val="003D0806"/>
    <w:rsid w:val="003D0A87"/>
    <w:rsid w:val="003D21B2"/>
    <w:rsid w:val="003D22B7"/>
    <w:rsid w:val="003D2E66"/>
    <w:rsid w:val="003D2ECF"/>
    <w:rsid w:val="003D2F14"/>
    <w:rsid w:val="003D378D"/>
    <w:rsid w:val="003D3F16"/>
    <w:rsid w:val="003D4EFD"/>
    <w:rsid w:val="003D4F83"/>
    <w:rsid w:val="003D5D1E"/>
    <w:rsid w:val="003D6017"/>
    <w:rsid w:val="003D6EA1"/>
    <w:rsid w:val="003D6F0B"/>
    <w:rsid w:val="003D6F1B"/>
    <w:rsid w:val="003D71AA"/>
    <w:rsid w:val="003D7379"/>
    <w:rsid w:val="003D7536"/>
    <w:rsid w:val="003D7CCB"/>
    <w:rsid w:val="003D7D54"/>
    <w:rsid w:val="003E0241"/>
    <w:rsid w:val="003E187A"/>
    <w:rsid w:val="003E3EF2"/>
    <w:rsid w:val="003E40F7"/>
    <w:rsid w:val="003E437A"/>
    <w:rsid w:val="003E4CE5"/>
    <w:rsid w:val="003E4F12"/>
    <w:rsid w:val="003E5346"/>
    <w:rsid w:val="003E54B1"/>
    <w:rsid w:val="003E6023"/>
    <w:rsid w:val="003E7076"/>
    <w:rsid w:val="003E745F"/>
    <w:rsid w:val="003F01A8"/>
    <w:rsid w:val="003F0597"/>
    <w:rsid w:val="003F0A50"/>
    <w:rsid w:val="003F0BC6"/>
    <w:rsid w:val="003F0CB9"/>
    <w:rsid w:val="003F0F07"/>
    <w:rsid w:val="003F14D8"/>
    <w:rsid w:val="003F1B8B"/>
    <w:rsid w:val="003F3070"/>
    <w:rsid w:val="003F3EB4"/>
    <w:rsid w:val="003F43C6"/>
    <w:rsid w:val="003F459E"/>
    <w:rsid w:val="003F47B4"/>
    <w:rsid w:val="003F59DC"/>
    <w:rsid w:val="003F6232"/>
    <w:rsid w:val="003F6722"/>
    <w:rsid w:val="003F6D60"/>
    <w:rsid w:val="003F71B0"/>
    <w:rsid w:val="00400277"/>
    <w:rsid w:val="00401068"/>
    <w:rsid w:val="004015E5"/>
    <w:rsid w:val="00402F4A"/>
    <w:rsid w:val="00403420"/>
    <w:rsid w:val="004044D6"/>
    <w:rsid w:val="00404F04"/>
    <w:rsid w:val="0040545A"/>
    <w:rsid w:val="00405BBD"/>
    <w:rsid w:val="00406072"/>
    <w:rsid w:val="00406AF3"/>
    <w:rsid w:val="00407DF0"/>
    <w:rsid w:val="0041032D"/>
    <w:rsid w:val="00410351"/>
    <w:rsid w:val="00410B8D"/>
    <w:rsid w:val="004113A1"/>
    <w:rsid w:val="0041211A"/>
    <w:rsid w:val="004129F7"/>
    <w:rsid w:val="004129FF"/>
    <w:rsid w:val="00412B76"/>
    <w:rsid w:val="00412D00"/>
    <w:rsid w:val="004131EA"/>
    <w:rsid w:val="00413A22"/>
    <w:rsid w:val="0041442E"/>
    <w:rsid w:val="0041519C"/>
    <w:rsid w:val="00415C55"/>
    <w:rsid w:val="00415F12"/>
    <w:rsid w:val="0041659E"/>
    <w:rsid w:val="00416BA5"/>
    <w:rsid w:val="00416CEF"/>
    <w:rsid w:val="00417839"/>
    <w:rsid w:val="004203D5"/>
    <w:rsid w:val="00421244"/>
    <w:rsid w:val="004212BC"/>
    <w:rsid w:val="0042296E"/>
    <w:rsid w:val="00423757"/>
    <w:rsid w:val="00423B2E"/>
    <w:rsid w:val="00423EBE"/>
    <w:rsid w:val="00423F11"/>
    <w:rsid w:val="00424108"/>
    <w:rsid w:val="00424A95"/>
    <w:rsid w:val="00424D25"/>
    <w:rsid w:val="00424F1F"/>
    <w:rsid w:val="0042503B"/>
    <w:rsid w:val="00426236"/>
    <w:rsid w:val="00426A99"/>
    <w:rsid w:val="00426E10"/>
    <w:rsid w:val="00426EE0"/>
    <w:rsid w:val="0042750C"/>
    <w:rsid w:val="0042756F"/>
    <w:rsid w:val="0042776F"/>
    <w:rsid w:val="0042796B"/>
    <w:rsid w:val="00427C5D"/>
    <w:rsid w:val="00430485"/>
    <w:rsid w:val="004308BB"/>
    <w:rsid w:val="004311D7"/>
    <w:rsid w:val="0043134C"/>
    <w:rsid w:val="004314F2"/>
    <w:rsid w:val="00431E1C"/>
    <w:rsid w:val="00431F49"/>
    <w:rsid w:val="0043212C"/>
    <w:rsid w:val="0043214A"/>
    <w:rsid w:val="0043306F"/>
    <w:rsid w:val="004336D7"/>
    <w:rsid w:val="004343C0"/>
    <w:rsid w:val="0043466F"/>
    <w:rsid w:val="00435253"/>
    <w:rsid w:val="00435F77"/>
    <w:rsid w:val="0043696E"/>
    <w:rsid w:val="00436C24"/>
    <w:rsid w:val="0043714C"/>
    <w:rsid w:val="00437482"/>
    <w:rsid w:val="0044152C"/>
    <w:rsid w:val="00441640"/>
    <w:rsid w:val="004432A9"/>
    <w:rsid w:val="00443FA8"/>
    <w:rsid w:val="00444295"/>
    <w:rsid w:val="004446A9"/>
    <w:rsid w:val="004455DE"/>
    <w:rsid w:val="00445AA1"/>
    <w:rsid w:val="00446F38"/>
    <w:rsid w:val="004471E7"/>
    <w:rsid w:val="004477F7"/>
    <w:rsid w:val="00447B0D"/>
    <w:rsid w:val="00447C36"/>
    <w:rsid w:val="00447D1A"/>
    <w:rsid w:val="00447DAB"/>
    <w:rsid w:val="004500A2"/>
    <w:rsid w:val="00450170"/>
    <w:rsid w:val="004501A9"/>
    <w:rsid w:val="00450316"/>
    <w:rsid w:val="004510DF"/>
    <w:rsid w:val="0045125A"/>
    <w:rsid w:val="00451614"/>
    <w:rsid w:val="00454105"/>
    <w:rsid w:val="0045453E"/>
    <w:rsid w:val="004546D0"/>
    <w:rsid w:val="00454A6E"/>
    <w:rsid w:val="00454FC4"/>
    <w:rsid w:val="0045524F"/>
    <w:rsid w:val="004556FB"/>
    <w:rsid w:val="00455FDB"/>
    <w:rsid w:val="004562D9"/>
    <w:rsid w:val="00456B8B"/>
    <w:rsid w:val="00456DE3"/>
    <w:rsid w:val="0045751D"/>
    <w:rsid w:val="00457672"/>
    <w:rsid w:val="00457DD5"/>
    <w:rsid w:val="00460702"/>
    <w:rsid w:val="00460DEA"/>
    <w:rsid w:val="00461226"/>
    <w:rsid w:val="00461249"/>
    <w:rsid w:val="00461280"/>
    <w:rsid w:val="00461BBF"/>
    <w:rsid w:val="00462367"/>
    <w:rsid w:val="00462B65"/>
    <w:rsid w:val="0046367D"/>
    <w:rsid w:val="00463C87"/>
    <w:rsid w:val="00464577"/>
    <w:rsid w:val="00464878"/>
    <w:rsid w:val="00464A5A"/>
    <w:rsid w:val="00464B04"/>
    <w:rsid w:val="004654FF"/>
    <w:rsid w:val="004658C7"/>
    <w:rsid w:val="004658E3"/>
    <w:rsid w:val="004662AE"/>
    <w:rsid w:val="00466BBB"/>
    <w:rsid w:val="00466FDC"/>
    <w:rsid w:val="00467380"/>
    <w:rsid w:val="004675D1"/>
    <w:rsid w:val="0046774B"/>
    <w:rsid w:val="00467B49"/>
    <w:rsid w:val="004710E3"/>
    <w:rsid w:val="00471512"/>
    <w:rsid w:val="00471B1A"/>
    <w:rsid w:val="00471B20"/>
    <w:rsid w:val="00471D5D"/>
    <w:rsid w:val="00473475"/>
    <w:rsid w:val="00474799"/>
    <w:rsid w:val="004754B6"/>
    <w:rsid w:val="004756E5"/>
    <w:rsid w:val="00475EBC"/>
    <w:rsid w:val="00477095"/>
    <w:rsid w:val="00477E2F"/>
    <w:rsid w:val="00477F85"/>
    <w:rsid w:val="004800F5"/>
    <w:rsid w:val="004802C1"/>
    <w:rsid w:val="00480E4E"/>
    <w:rsid w:val="004815B0"/>
    <w:rsid w:val="004815B8"/>
    <w:rsid w:val="00481787"/>
    <w:rsid w:val="00482015"/>
    <w:rsid w:val="00483022"/>
    <w:rsid w:val="00483107"/>
    <w:rsid w:val="00483532"/>
    <w:rsid w:val="004841E3"/>
    <w:rsid w:val="00484723"/>
    <w:rsid w:val="004855F5"/>
    <w:rsid w:val="00486614"/>
    <w:rsid w:val="00487450"/>
    <w:rsid w:val="00487728"/>
    <w:rsid w:val="00487F79"/>
    <w:rsid w:val="00490190"/>
    <w:rsid w:val="004908F1"/>
    <w:rsid w:val="00490ACC"/>
    <w:rsid w:val="00492513"/>
    <w:rsid w:val="00492911"/>
    <w:rsid w:val="004929F2"/>
    <w:rsid w:val="00493209"/>
    <w:rsid w:val="00493A2D"/>
    <w:rsid w:val="0049475A"/>
    <w:rsid w:val="00494CFF"/>
    <w:rsid w:val="0049527E"/>
    <w:rsid w:val="0049565A"/>
    <w:rsid w:val="004959A6"/>
    <w:rsid w:val="00497509"/>
    <w:rsid w:val="004A10C8"/>
    <w:rsid w:val="004A135A"/>
    <w:rsid w:val="004A195C"/>
    <w:rsid w:val="004A1A14"/>
    <w:rsid w:val="004A1C91"/>
    <w:rsid w:val="004A2A1E"/>
    <w:rsid w:val="004A2CFA"/>
    <w:rsid w:val="004A3042"/>
    <w:rsid w:val="004A31A5"/>
    <w:rsid w:val="004A335D"/>
    <w:rsid w:val="004A34CF"/>
    <w:rsid w:val="004A39B9"/>
    <w:rsid w:val="004A3B07"/>
    <w:rsid w:val="004A4D3B"/>
    <w:rsid w:val="004A5716"/>
    <w:rsid w:val="004A5D69"/>
    <w:rsid w:val="004A602C"/>
    <w:rsid w:val="004A78DE"/>
    <w:rsid w:val="004B02C2"/>
    <w:rsid w:val="004B0CDE"/>
    <w:rsid w:val="004B0D11"/>
    <w:rsid w:val="004B1413"/>
    <w:rsid w:val="004B218E"/>
    <w:rsid w:val="004B228C"/>
    <w:rsid w:val="004B2665"/>
    <w:rsid w:val="004B2735"/>
    <w:rsid w:val="004B3182"/>
    <w:rsid w:val="004B349C"/>
    <w:rsid w:val="004B42E7"/>
    <w:rsid w:val="004B5B17"/>
    <w:rsid w:val="004B5CBB"/>
    <w:rsid w:val="004B671D"/>
    <w:rsid w:val="004B6CD4"/>
    <w:rsid w:val="004B7CF5"/>
    <w:rsid w:val="004C0232"/>
    <w:rsid w:val="004C1BD2"/>
    <w:rsid w:val="004C2B38"/>
    <w:rsid w:val="004C2FFD"/>
    <w:rsid w:val="004C457B"/>
    <w:rsid w:val="004C466A"/>
    <w:rsid w:val="004C5128"/>
    <w:rsid w:val="004C5544"/>
    <w:rsid w:val="004C5545"/>
    <w:rsid w:val="004C65EE"/>
    <w:rsid w:val="004C6A0A"/>
    <w:rsid w:val="004C714D"/>
    <w:rsid w:val="004C7748"/>
    <w:rsid w:val="004D0142"/>
    <w:rsid w:val="004D028D"/>
    <w:rsid w:val="004D0E24"/>
    <w:rsid w:val="004D19B1"/>
    <w:rsid w:val="004D29EE"/>
    <w:rsid w:val="004D3919"/>
    <w:rsid w:val="004D3A17"/>
    <w:rsid w:val="004D3B4B"/>
    <w:rsid w:val="004D3C65"/>
    <w:rsid w:val="004D3CD5"/>
    <w:rsid w:val="004D4B81"/>
    <w:rsid w:val="004D4D63"/>
    <w:rsid w:val="004D5284"/>
    <w:rsid w:val="004D59DE"/>
    <w:rsid w:val="004D62B6"/>
    <w:rsid w:val="004D63B3"/>
    <w:rsid w:val="004D655C"/>
    <w:rsid w:val="004D6858"/>
    <w:rsid w:val="004D7195"/>
    <w:rsid w:val="004E05BD"/>
    <w:rsid w:val="004E087C"/>
    <w:rsid w:val="004E1278"/>
    <w:rsid w:val="004E2B0B"/>
    <w:rsid w:val="004E2D68"/>
    <w:rsid w:val="004E32C5"/>
    <w:rsid w:val="004E3AE5"/>
    <w:rsid w:val="004E3BAB"/>
    <w:rsid w:val="004E433F"/>
    <w:rsid w:val="004E4AFA"/>
    <w:rsid w:val="004E4C65"/>
    <w:rsid w:val="004E508F"/>
    <w:rsid w:val="004E52B8"/>
    <w:rsid w:val="004E58BF"/>
    <w:rsid w:val="004E59AE"/>
    <w:rsid w:val="004E5E46"/>
    <w:rsid w:val="004E5FE7"/>
    <w:rsid w:val="004E69D1"/>
    <w:rsid w:val="004E6BA5"/>
    <w:rsid w:val="004E6FD8"/>
    <w:rsid w:val="004E79F8"/>
    <w:rsid w:val="004F0623"/>
    <w:rsid w:val="004F1540"/>
    <w:rsid w:val="004F204F"/>
    <w:rsid w:val="004F2273"/>
    <w:rsid w:val="004F2378"/>
    <w:rsid w:val="004F2486"/>
    <w:rsid w:val="004F27F5"/>
    <w:rsid w:val="004F3587"/>
    <w:rsid w:val="004F40CE"/>
    <w:rsid w:val="004F4BD4"/>
    <w:rsid w:val="004F4CB3"/>
    <w:rsid w:val="004F58A0"/>
    <w:rsid w:val="004F5969"/>
    <w:rsid w:val="004F5A3F"/>
    <w:rsid w:val="004F6374"/>
    <w:rsid w:val="004F6706"/>
    <w:rsid w:val="004F6712"/>
    <w:rsid w:val="004F6ACC"/>
    <w:rsid w:val="004F6F7B"/>
    <w:rsid w:val="005000E3"/>
    <w:rsid w:val="0050020E"/>
    <w:rsid w:val="005005A4"/>
    <w:rsid w:val="00500BD1"/>
    <w:rsid w:val="00500C4B"/>
    <w:rsid w:val="00500FA7"/>
    <w:rsid w:val="00501430"/>
    <w:rsid w:val="005015C6"/>
    <w:rsid w:val="00501C39"/>
    <w:rsid w:val="00501D03"/>
    <w:rsid w:val="00502507"/>
    <w:rsid w:val="00502866"/>
    <w:rsid w:val="00502B92"/>
    <w:rsid w:val="00502D1B"/>
    <w:rsid w:val="005039EE"/>
    <w:rsid w:val="0050441F"/>
    <w:rsid w:val="00504DFD"/>
    <w:rsid w:val="005050B9"/>
    <w:rsid w:val="005050BC"/>
    <w:rsid w:val="00506CA3"/>
    <w:rsid w:val="005079B2"/>
    <w:rsid w:val="00510925"/>
    <w:rsid w:val="00510D42"/>
    <w:rsid w:val="005131DD"/>
    <w:rsid w:val="005132B8"/>
    <w:rsid w:val="00514756"/>
    <w:rsid w:val="00514A04"/>
    <w:rsid w:val="00514DFA"/>
    <w:rsid w:val="005155A5"/>
    <w:rsid w:val="00515916"/>
    <w:rsid w:val="00515B19"/>
    <w:rsid w:val="00516878"/>
    <w:rsid w:val="00516C64"/>
    <w:rsid w:val="005175E2"/>
    <w:rsid w:val="00517F46"/>
    <w:rsid w:val="00520240"/>
    <w:rsid w:val="005207A4"/>
    <w:rsid w:val="005208D1"/>
    <w:rsid w:val="00520D71"/>
    <w:rsid w:val="00521761"/>
    <w:rsid w:val="005217D6"/>
    <w:rsid w:val="00521F42"/>
    <w:rsid w:val="005220FA"/>
    <w:rsid w:val="00522785"/>
    <w:rsid w:val="00522F0A"/>
    <w:rsid w:val="005232A3"/>
    <w:rsid w:val="005237BF"/>
    <w:rsid w:val="00523E29"/>
    <w:rsid w:val="005244CF"/>
    <w:rsid w:val="00524739"/>
    <w:rsid w:val="00524842"/>
    <w:rsid w:val="00524942"/>
    <w:rsid w:val="00524F57"/>
    <w:rsid w:val="005252D9"/>
    <w:rsid w:val="00525390"/>
    <w:rsid w:val="00525467"/>
    <w:rsid w:val="00525837"/>
    <w:rsid w:val="00526ACE"/>
    <w:rsid w:val="005308BC"/>
    <w:rsid w:val="005318BE"/>
    <w:rsid w:val="0053314C"/>
    <w:rsid w:val="00533B13"/>
    <w:rsid w:val="00534AD6"/>
    <w:rsid w:val="00534C4D"/>
    <w:rsid w:val="00535339"/>
    <w:rsid w:val="00535D57"/>
    <w:rsid w:val="00540350"/>
    <w:rsid w:val="005409AA"/>
    <w:rsid w:val="00541D64"/>
    <w:rsid w:val="0054201B"/>
    <w:rsid w:val="00542245"/>
    <w:rsid w:val="00542649"/>
    <w:rsid w:val="0054280D"/>
    <w:rsid w:val="00542FBD"/>
    <w:rsid w:val="0054351D"/>
    <w:rsid w:val="00543E24"/>
    <w:rsid w:val="00546459"/>
    <w:rsid w:val="00546498"/>
    <w:rsid w:val="00546D86"/>
    <w:rsid w:val="00550A8E"/>
    <w:rsid w:val="005517EF"/>
    <w:rsid w:val="005518B4"/>
    <w:rsid w:val="00551CC7"/>
    <w:rsid w:val="005523BB"/>
    <w:rsid w:val="005524C3"/>
    <w:rsid w:val="00552809"/>
    <w:rsid w:val="00552FD8"/>
    <w:rsid w:val="00553438"/>
    <w:rsid w:val="00553A0B"/>
    <w:rsid w:val="005540B1"/>
    <w:rsid w:val="00554820"/>
    <w:rsid w:val="00554AB4"/>
    <w:rsid w:val="00554D68"/>
    <w:rsid w:val="00555AB7"/>
    <w:rsid w:val="00555FA1"/>
    <w:rsid w:val="00556427"/>
    <w:rsid w:val="00560C20"/>
    <w:rsid w:val="00560DAB"/>
    <w:rsid w:val="00561AD5"/>
    <w:rsid w:val="00562175"/>
    <w:rsid w:val="00562A68"/>
    <w:rsid w:val="00562ABA"/>
    <w:rsid w:val="005631CE"/>
    <w:rsid w:val="00563C51"/>
    <w:rsid w:val="00564A25"/>
    <w:rsid w:val="00564BE2"/>
    <w:rsid w:val="00565693"/>
    <w:rsid w:val="00565AA0"/>
    <w:rsid w:val="0056728D"/>
    <w:rsid w:val="00567684"/>
    <w:rsid w:val="00567ED3"/>
    <w:rsid w:val="0057000B"/>
    <w:rsid w:val="005702D6"/>
    <w:rsid w:val="005705AB"/>
    <w:rsid w:val="00570C88"/>
    <w:rsid w:val="00571E5F"/>
    <w:rsid w:val="00571F73"/>
    <w:rsid w:val="00572911"/>
    <w:rsid w:val="00573195"/>
    <w:rsid w:val="0057393A"/>
    <w:rsid w:val="00574C17"/>
    <w:rsid w:val="00574D80"/>
    <w:rsid w:val="00575E40"/>
    <w:rsid w:val="00576445"/>
    <w:rsid w:val="00576C3F"/>
    <w:rsid w:val="0057714D"/>
    <w:rsid w:val="00577BEB"/>
    <w:rsid w:val="00577F40"/>
    <w:rsid w:val="0058027D"/>
    <w:rsid w:val="005807CC"/>
    <w:rsid w:val="00580A64"/>
    <w:rsid w:val="00580B6C"/>
    <w:rsid w:val="0058175E"/>
    <w:rsid w:val="005840E6"/>
    <w:rsid w:val="0058477A"/>
    <w:rsid w:val="00584883"/>
    <w:rsid w:val="0058544A"/>
    <w:rsid w:val="0058579C"/>
    <w:rsid w:val="00585EC8"/>
    <w:rsid w:val="005867D5"/>
    <w:rsid w:val="00586AD9"/>
    <w:rsid w:val="00586C5F"/>
    <w:rsid w:val="00586CA4"/>
    <w:rsid w:val="00587179"/>
    <w:rsid w:val="00587447"/>
    <w:rsid w:val="00587ABA"/>
    <w:rsid w:val="00587C0A"/>
    <w:rsid w:val="005902EF"/>
    <w:rsid w:val="0059086C"/>
    <w:rsid w:val="00590B15"/>
    <w:rsid w:val="00590BB2"/>
    <w:rsid w:val="00590EE0"/>
    <w:rsid w:val="00591A1A"/>
    <w:rsid w:val="00591BBC"/>
    <w:rsid w:val="0059263B"/>
    <w:rsid w:val="005926E3"/>
    <w:rsid w:val="005927C1"/>
    <w:rsid w:val="005929DC"/>
    <w:rsid w:val="00592D66"/>
    <w:rsid w:val="00593492"/>
    <w:rsid w:val="005935E2"/>
    <w:rsid w:val="00593B60"/>
    <w:rsid w:val="005944E2"/>
    <w:rsid w:val="00594C65"/>
    <w:rsid w:val="00595532"/>
    <w:rsid w:val="005966BC"/>
    <w:rsid w:val="00596956"/>
    <w:rsid w:val="00597624"/>
    <w:rsid w:val="005A05BF"/>
    <w:rsid w:val="005A06FC"/>
    <w:rsid w:val="005A2B5E"/>
    <w:rsid w:val="005A30FE"/>
    <w:rsid w:val="005A4043"/>
    <w:rsid w:val="005A439A"/>
    <w:rsid w:val="005A4A32"/>
    <w:rsid w:val="005A5346"/>
    <w:rsid w:val="005A5598"/>
    <w:rsid w:val="005A55C4"/>
    <w:rsid w:val="005A6201"/>
    <w:rsid w:val="005A6FB0"/>
    <w:rsid w:val="005A74CD"/>
    <w:rsid w:val="005A7697"/>
    <w:rsid w:val="005A7EA7"/>
    <w:rsid w:val="005B0E0A"/>
    <w:rsid w:val="005B13D8"/>
    <w:rsid w:val="005B18E3"/>
    <w:rsid w:val="005B268A"/>
    <w:rsid w:val="005B2911"/>
    <w:rsid w:val="005B2D00"/>
    <w:rsid w:val="005B3ED7"/>
    <w:rsid w:val="005B401E"/>
    <w:rsid w:val="005B58B2"/>
    <w:rsid w:val="005B5A8B"/>
    <w:rsid w:val="005B628A"/>
    <w:rsid w:val="005B6486"/>
    <w:rsid w:val="005B6552"/>
    <w:rsid w:val="005B6911"/>
    <w:rsid w:val="005B694A"/>
    <w:rsid w:val="005B70B3"/>
    <w:rsid w:val="005B7166"/>
    <w:rsid w:val="005C0677"/>
    <w:rsid w:val="005C1185"/>
    <w:rsid w:val="005C1AB8"/>
    <w:rsid w:val="005C1E57"/>
    <w:rsid w:val="005C1E5E"/>
    <w:rsid w:val="005C2468"/>
    <w:rsid w:val="005C2EC0"/>
    <w:rsid w:val="005C2EEF"/>
    <w:rsid w:val="005C3593"/>
    <w:rsid w:val="005C3FE6"/>
    <w:rsid w:val="005C4C2E"/>
    <w:rsid w:val="005C6231"/>
    <w:rsid w:val="005C6253"/>
    <w:rsid w:val="005C6A70"/>
    <w:rsid w:val="005C6F8F"/>
    <w:rsid w:val="005C7870"/>
    <w:rsid w:val="005D0605"/>
    <w:rsid w:val="005D0688"/>
    <w:rsid w:val="005D0A8D"/>
    <w:rsid w:val="005D0D44"/>
    <w:rsid w:val="005D1362"/>
    <w:rsid w:val="005D13F7"/>
    <w:rsid w:val="005D1505"/>
    <w:rsid w:val="005D1C5E"/>
    <w:rsid w:val="005D1F1E"/>
    <w:rsid w:val="005D2D5E"/>
    <w:rsid w:val="005D34D3"/>
    <w:rsid w:val="005D37CB"/>
    <w:rsid w:val="005D38F7"/>
    <w:rsid w:val="005D40DF"/>
    <w:rsid w:val="005D41F6"/>
    <w:rsid w:val="005D4A28"/>
    <w:rsid w:val="005D5377"/>
    <w:rsid w:val="005D5468"/>
    <w:rsid w:val="005D5D3A"/>
    <w:rsid w:val="005D6856"/>
    <w:rsid w:val="005D69AF"/>
    <w:rsid w:val="005D7011"/>
    <w:rsid w:val="005E0013"/>
    <w:rsid w:val="005E05DD"/>
    <w:rsid w:val="005E169C"/>
    <w:rsid w:val="005E2C87"/>
    <w:rsid w:val="005E2E9B"/>
    <w:rsid w:val="005E2EAB"/>
    <w:rsid w:val="005E3021"/>
    <w:rsid w:val="005E3C47"/>
    <w:rsid w:val="005E468A"/>
    <w:rsid w:val="005E4779"/>
    <w:rsid w:val="005E4835"/>
    <w:rsid w:val="005E5896"/>
    <w:rsid w:val="005E5999"/>
    <w:rsid w:val="005E5F07"/>
    <w:rsid w:val="005E63E0"/>
    <w:rsid w:val="005E6C5B"/>
    <w:rsid w:val="005E6ECB"/>
    <w:rsid w:val="005E7844"/>
    <w:rsid w:val="005E7AAA"/>
    <w:rsid w:val="005F0072"/>
    <w:rsid w:val="005F07DF"/>
    <w:rsid w:val="005F119A"/>
    <w:rsid w:val="005F2065"/>
    <w:rsid w:val="005F219F"/>
    <w:rsid w:val="005F2C89"/>
    <w:rsid w:val="005F3EC3"/>
    <w:rsid w:val="005F4773"/>
    <w:rsid w:val="005F58F1"/>
    <w:rsid w:val="005F5CA2"/>
    <w:rsid w:val="005F5E26"/>
    <w:rsid w:val="005F66A3"/>
    <w:rsid w:val="005F6F7D"/>
    <w:rsid w:val="005F70CC"/>
    <w:rsid w:val="005F7B7F"/>
    <w:rsid w:val="005F7E41"/>
    <w:rsid w:val="006000CD"/>
    <w:rsid w:val="0060023C"/>
    <w:rsid w:val="0060038C"/>
    <w:rsid w:val="006003A8"/>
    <w:rsid w:val="00600FF3"/>
    <w:rsid w:val="006014B9"/>
    <w:rsid w:val="00601E43"/>
    <w:rsid w:val="00601F9C"/>
    <w:rsid w:val="00602F64"/>
    <w:rsid w:val="0060321A"/>
    <w:rsid w:val="00603729"/>
    <w:rsid w:val="006041B4"/>
    <w:rsid w:val="006041DD"/>
    <w:rsid w:val="0060457C"/>
    <w:rsid w:val="00604CEE"/>
    <w:rsid w:val="00604E02"/>
    <w:rsid w:val="00605955"/>
    <w:rsid w:val="00605960"/>
    <w:rsid w:val="00605B77"/>
    <w:rsid w:val="00605C66"/>
    <w:rsid w:val="00606158"/>
    <w:rsid w:val="00606EEA"/>
    <w:rsid w:val="006077B0"/>
    <w:rsid w:val="00610B7E"/>
    <w:rsid w:val="00610CBF"/>
    <w:rsid w:val="0061104A"/>
    <w:rsid w:val="00611158"/>
    <w:rsid w:val="00611527"/>
    <w:rsid w:val="00612AE2"/>
    <w:rsid w:val="0061310C"/>
    <w:rsid w:val="006136F6"/>
    <w:rsid w:val="00613918"/>
    <w:rsid w:val="00613A0F"/>
    <w:rsid w:val="00613F30"/>
    <w:rsid w:val="00614B7A"/>
    <w:rsid w:val="00615C0D"/>
    <w:rsid w:val="00615CE8"/>
    <w:rsid w:val="006165FF"/>
    <w:rsid w:val="006168B3"/>
    <w:rsid w:val="00616DE1"/>
    <w:rsid w:val="00616E0E"/>
    <w:rsid w:val="006178B5"/>
    <w:rsid w:val="00621465"/>
    <w:rsid w:val="00621716"/>
    <w:rsid w:val="006218CC"/>
    <w:rsid w:val="006223D8"/>
    <w:rsid w:val="00622546"/>
    <w:rsid w:val="00622699"/>
    <w:rsid w:val="00622975"/>
    <w:rsid w:val="006236A8"/>
    <w:rsid w:val="00624280"/>
    <w:rsid w:val="00624B51"/>
    <w:rsid w:val="006250BC"/>
    <w:rsid w:val="00625E11"/>
    <w:rsid w:val="006263CB"/>
    <w:rsid w:val="006267BB"/>
    <w:rsid w:val="006272FE"/>
    <w:rsid w:val="006278B2"/>
    <w:rsid w:val="006300E9"/>
    <w:rsid w:val="006301E5"/>
    <w:rsid w:val="00630B41"/>
    <w:rsid w:val="00630C5B"/>
    <w:rsid w:val="00631D5F"/>
    <w:rsid w:val="00631ED2"/>
    <w:rsid w:val="006324CB"/>
    <w:rsid w:val="00632796"/>
    <w:rsid w:val="006328A6"/>
    <w:rsid w:val="00632FFC"/>
    <w:rsid w:val="0063406A"/>
    <w:rsid w:val="00635186"/>
    <w:rsid w:val="006360CA"/>
    <w:rsid w:val="00636113"/>
    <w:rsid w:val="0063681A"/>
    <w:rsid w:val="006369D9"/>
    <w:rsid w:val="00636BED"/>
    <w:rsid w:val="00636E6E"/>
    <w:rsid w:val="0064095E"/>
    <w:rsid w:val="006410BE"/>
    <w:rsid w:val="00641403"/>
    <w:rsid w:val="00641E59"/>
    <w:rsid w:val="00642ADE"/>
    <w:rsid w:val="00642C8A"/>
    <w:rsid w:val="00642EDA"/>
    <w:rsid w:val="006437AE"/>
    <w:rsid w:val="00643888"/>
    <w:rsid w:val="00643D79"/>
    <w:rsid w:val="00644737"/>
    <w:rsid w:val="006448B3"/>
    <w:rsid w:val="00644C98"/>
    <w:rsid w:val="006459B9"/>
    <w:rsid w:val="006467E9"/>
    <w:rsid w:val="00647AFD"/>
    <w:rsid w:val="006502C4"/>
    <w:rsid w:val="00651454"/>
    <w:rsid w:val="006514D1"/>
    <w:rsid w:val="0065175D"/>
    <w:rsid w:val="00652095"/>
    <w:rsid w:val="00652430"/>
    <w:rsid w:val="00652B4E"/>
    <w:rsid w:val="00652D9F"/>
    <w:rsid w:val="00652E03"/>
    <w:rsid w:val="0065304D"/>
    <w:rsid w:val="0065315D"/>
    <w:rsid w:val="006532DD"/>
    <w:rsid w:val="006545C8"/>
    <w:rsid w:val="0065497E"/>
    <w:rsid w:val="00654E29"/>
    <w:rsid w:val="006558B7"/>
    <w:rsid w:val="006558F8"/>
    <w:rsid w:val="006563D0"/>
    <w:rsid w:val="0065711B"/>
    <w:rsid w:val="00657315"/>
    <w:rsid w:val="00657C8E"/>
    <w:rsid w:val="00657D0C"/>
    <w:rsid w:val="00657EF6"/>
    <w:rsid w:val="006600A9"/>
    <w:rsid w:val="0066078B"/>
    <w:rsid w:val="00660FBF"/>
    <w:rsid w:val="00661498"/>
    <w:rsid w:val="00661850"/>
    <w:rsid w:val="00663905"/>
    <w:rsid w:val="00663924"/>
    <w:rsid w:val="00663E47"/>
    <w:rsid w:val="0066427D"/>
    <w:rsid w:val="0066466F"/>
    <w:rsid w:val="00664B4D"/>
    <w:rsid w:val="00664BF3"/>
    <w:rsid w:val="00665304"/>
    <w:rsid w:val="00665DCC"/>
    <w:rsid w:val="0066674A"/>
    <w:rsid w:val="00666954"/>
    <w:rsid w:val="006672E2"/>
    <w:rsid w:val="006711D2"/>
    <w:rsid w:val="006717F0"/>
    <w:rsid w:val="006731E5"/>
    <w:rsid w:val="00673878"/>
    <w:rsid w:val="006740BE"/>
    <w:rsid w:val="00675482"/>
    <w:rsid w:val="00675782"/>
    <w:rsid w:val="00676E33"/>
    <w:rsid w:val="006770F5"/>
    <w:rsid w:val="00677232"/>
    <w:rsid w:val="00677769"/>
    <w:rsid w:val="00677D0A"/>
    <w:rsid w:val="0068053F"/>
    <w:rsid w:val="00680585"/>
    <w:rsid w:val="00680770"/>
    <w:rsid w:val="00680866"/>
    <w:rsid w:val="00680E28"/>
    <w:rsid w:val="006811C8"/>
    <w:rsid w:val="00681235"/>
    <w:rsid w:val="00681A40"/>
    <w:rsid w:val="00681E3F"/>
    <w:rsid w:val="006827E9"/>
    <w:rsid w:val="00682AC3"/>
    <w:rsid w:val="00682BF3"/>
    <w:rsid w:val="00682F17"/>
    <w:rsid w:val="0068384B"/>
    <w:rsid w:val="00684BC4"/>
    <w:rsid w:val="00684E33"/>
    <w:rsid w:val="00684E45"/>
    <w:rsid w:val="00686AC1"/>
    <w:rsid w:val="006873F6"/>
    <w:rsid w:val="006876F2"/>
    <w:rsid w:val="00687733"/>
    <w:rsid w:val="0069034F"/>
    <w:rsid w:val="00691286"/>
    <w:rsid w:val="00691F20"/>
    <w:rsid w:val="00692BD1"/>
    <w:rsid w:val="00695BB3"/>
    <w:rsid w:val="00696241"/>
    <w:rsid w:val="00696709"/>
    <w:rsid w:val="00697453"/>
    <w:rsid w:val="0069748B"/>
    <w:rsid w:val="006976F8"/>
    <w:rsid w:val="006A06F1"/>
    <w:rsid w:val="006A0AFE"/>
    <w:rsid w:val="006A0B01"/>
    <w:rsid w:val="006A1BAA"/>
    <w:rsid w:val="006A2374"/>
    <w:rsid w:val="006A33C1"/>
    <w:rsid w:val="006A3861"/>
    <w:rsid w:val="006A42F5"/>
    <w:rsid w:val="006A43C3"/>
    <w:rsid w:val="006A4AB1"/>
    <w:rsid w:val="006A5AE2"/>
    <w:rsid w:val="006A6217"/>
    <w:rsid w:val="006A6599"/>
    <w:rsid w:val="006A71DF"/>
    <w:rsid w:val="006A7336"/>
    <w:rsid w:val="006B0955"/>
    <w:rsid w:val="006B09BA"/>
    <w:rsid w:val="006B11E7"/>
    <w:rsid w:val="006B1A84"/>
    <w:rsid w:val="006B1EA5"/>
    <w:rsid w:val="006B2104"/>
    <w:rsid w:val="006B298F"/>
    <w:rsid w:val="006B2AB9"/>
    <w:rsid w:val="006B2D3B"/>
    <w:rsid w:val="006B4279"/>
    <w:rsid w:val="006B43FB"/>
    <w:rsid w:val="006B49D1"/>
    <w:rsid w:val="006B4F43"/>
    <w:rsid w:val="006B5397"/>
    <w:rsid w:val="006B655A"/>
    <w:rsid w:val="006B6669"/>
    <w:rsid w:val="006B68F4"/>
    <w:rsid w:val="006B76A0"/>
    <w:rsid w:val="006B7783"/>
    <w:rsid w:val="006B77DF"/>
    <w:rsid w:val="006C002A"/>
    <w:rsid w:val="006C03D7"/>
    <w:rsid w:val="006C1553"/>
    <w:rsid w:val="006C18C3"/>
    <w:rsid w:val="006C2AA6"/>
    <w:rsid w:val="006C2ED9"/>
    <w:rsid w:val="006C3A23"/>
    <w:rsid w:val="006C3BDC"/>
    <w:rsid w:val="006C3CCA"/>
    <w:rsid w:val="006C3D71"/>
    <w:rsid w:val="006C4553"/>
    <w:rsid w:val="006C49FB"/>
    <w:rsid w:val="006C51FB"/>
    <w:rsid w:val="006C5237"/>
    <w:rsid w:val="006C58B8"/>
    <w:rsid w:val="006C5E6A"/>
    <w:rsid w:val="006C6D2C"/>
    <w:rsid w:val="006C7279"/>
    <w:rsid w:val="006C78EA"/>
    <w:rsid w:val="006C7E55"/>
    <w:rsid w:val="006C7E89"/>
    <w:rsid w:val="006D0AC1"/>
    <w:rsid w:val="006D0D1C"/>
    <w:rsid w:val="006D10DF"/>
    <w:rsid w:val="006D212C"/>
    <w:rsid w:val="006D21AD"/>
    <w:rsid w:val="006D2C9C"/>
    <w:rsid w:val="006D2E95"/>
    <w:rsid w:val="006D344B"/>
    <w:rsid w:val="006D3516"/>
    <w:rsid w:val="006D3741"/>
    <w:rsid w:val="006D4B6A"/>
    <w:rsid w:val="006D4BE9"/>
    <w:rsid w:val="006D4E67"/>
    <w:rsid w:val="006D4FEB"/>
    <w:rsid w:val="006D57B5"/>
    <w:rsid w:val="006D5CD7"/>
    <w:rsid w:val="006D6E1F"/>
    <w:rsid w:val="006D744C"/>
    <w:rsid w:val="006D76CC"/>
    <w:rsid w:val="006D7B1D"/>
    <w:rsid w:val="006D7BF6"/>
    <w:rsid w:val="006E0141"/>
    <w:rsid w:val="006E031B"/>
    <w:rsid w:val="006E0A5A"/>
    <w:rsid w:val="006E1642"/>
    <w:rsid w:val="006E1CFA"/>
    <w:rsid w:val="006E1D0D"/>
    <w:rsid w:val="006E256F"/>
    <w:rsid w:val="006E2692"/>
    <w:rsid w:val="006E31A6"/>
    <w:rsid w:val="006E3CB4"/>
    <w:rsid w:val="006E406E"/>
    <w:rsid w:val="006E416A"/>
    <w:rsid w:val="006E45F4"/>
    <w:rsid w:val="006E4E08"/>
    <w:rsid w:val="006E5237"/>
    <w:rsid w:val="006E60BF"/>
    <w:rsid w:val="006E6219"/>
    <w:rsid w:val="006E6426"/>
    <w:rsid w:val="006E64E8"/>
    <w:rsid w:val="006E6CD3"/>
    <w:rsid w:val="006E6DF8"/>
    <w:rsid w:val="006E733A"/>
    <w:rsid w:val="006E7D31"/>
    <w:rsid w:val="006E7FA6"/>
    <w:rsid w:val="006F0B55"/>
    <w:rsid w:val="006F10BF"/>
    <w:rsid w:val="006F141B"/>
    <w:rsid w:val="006F1941"/>
    <w:rsid w:val="006F1DE5"/>
    <w:rsid w:val="006F2814"/>
    <w:rsid w:val="006F3106"/>
    <w:rsid w:val="006F3A0A"/>
    <w:rsid w:val="006F3DC2"/>
    <w:rsid w:val="006F3DDD"/>
    <w:rsid w:val="006F45A8"/>
    <w:rsid w:val="006F4830"/>
    <w:rsid w:val="006F49CE"/>
    <w:rsid w:val="006F4C00"/>
    <w:rsid w:val="006F4CDD"/>
    <w:rsid w:val="006F5A3B"/>
    <w:rsid w:val="006F63CF"/>
    <w:rsid w:val="006F6D52"/>
    <w:rsid w:val="006F6E8E"/>
    <w:rsid w:val="006F7BD0"/>
    <w:rsid w:val="00702D5C"/>
    <w:rsid w:val="00702E5E"/>
    <w:rsid w:val="00702FC1"/>
    <w:rsid w:val="00703174"/>
    <w:rsid w:val="00703380"/>
    <w:rsid w:val="00703420"/>
    <w:rsid w:val="00703548"/>
    <w:rsid w:val="00703F3D"/>
    <w:rsid w:val="00703F42"/>
    <w:rsid w:val="007047D9"/>
    <w:rsid w:val="00704DF6"/>
    <w:rsid w:val="00705A74"/>
    <w:rsid w:val="00706324"/>
    <w:rsid w:val="00706ED1"/>
    <w:rsid w:val="00706EFE"/>
    <w:rsid w:val="0070770E"/>
    <w:rsid w:val="00707D06"/>
    <w:rsid w:val="00707FF0"/>
    <w:rsid w:val="0071097B"/>
    <w:rsid w:val="00710B68"/>
    <w:rsid w:val="00710ED4"/>
    <w:rsid w:val="00711DB8"/>
    <w:rsid w:val="00712D1C"/>
    <w:rsid w:val="00714228"/>
    <w:rsid w:val="00715118"/>
    <w:rsid w:val="007151F2"/>
    <w:rsid w:val="007158CC"/>
    <w:rsid w:val="00715AAB"/>
    <w:rsid w:val="00715FCB"/>
    <w:rsid w:val="007162AB"/>
    <w:rsid w:val="007163D9"/>
    <w:rsid w:val="007165AC"/>
    <w:rsid w:val="00717C6C"/>
    <w:rsid w:val="00717E20"/>
    <w:rsid w:val="0072004D"/>
    <w:rsid w:val="00720050"/>
    <w:rsid w:val="00720C18"/>
    <w:rsid w:val="00720E4F"/>
    <w:rsid w:val="00721708"/>
    <w:rsid w:val="00721E35"/>
    <w:rsid w:val="00722483"/>
    <w:rsid w:val="00722A18"/>
    <w:rsid w:val="00722B95"/>
    <w:rsid w:val="00722BAE"/>
    <w:rsid w:val="00722ED2"/>
    <w:rsid w:val="00723155"/>
    <w:rsid w:val="007233C1"/>
    <w:rsid w:val="00723853"/>
    <w:rsid w:val="0072405E"/>
    <w:rsid w:val="007246E2"/>
    <w:rsid w:val="00724798"/>
    <w:rsid w:val="007248C9"/>
    <w:rsid w:val="00724BB1"/>
    <w:rsid w:val="007253E8"/>
    <w:rsid w:val="00726394"/>
    <w:rsid w:val="00726546"/>
    <w:rsid w:val="00726E09"/>
    <w:rsid w:val="007271B0"/>
    <w:rsid w:val="007274FF"/>
    <w:rsid w:val="00727AA8"/>
    <w:rsid w:val="007310DE"/>
    <w:rsid w:val="00731DFA"/>
    <w:rsid w:val="00732071"/>
    <w:rsid w:val="00732631"/>
    <w:rsid w:val="00732AA9"/>
    <w:rsid w:val="00732B2C"/>
    <w:rsid w:val="007339DE"/>
    <w:rsid w:val="007348D1"/>
    <w:rsid w:val="00734C63"/>
    <w:rsid w:val="00734D16"/>
    <w:rsid w:val="0073503C"/>
    <w:rsid w:val="007358AB"/>
    <w:rsid w:val="0073601A"/>
    <w:rsid w:val="00737497"/>
    <w:rsid w:val="007377AB"/>
    <w:rsid w:val="00737954"/>
    <w:rsid w:val="00737FC0"/>
    <w:rsid w:val="0074090B"/>
    <w:rsid w:val="00740F33"/>
    <w:rsid w:val="00741219"/>
    <w:rsid w:val="007416DC"/>
    <w:rsid w:val="00741C82"/>
    <w:rsid w:val="00741C95"/>
    <w:rsid w:val="00741CB5"/>
    <w:rsid w:val="00741CD4"/>
    <w:rsid w:val="00741D3A"/>
    <w:rsid w:val="00741EFE"/>
    <w:rsid w:val="00742021"/>
    <w:rsid w:val="00742127"/>
    <w:rsid w:val="00743296"/>
    <w:rsid w:val="007439A1"/>
    <w:rsid w:val="00743A74"/>
    <w:rsid w:val="00743B94"/>
    <w:rsid w:val="00743C12"/>
    <w:rsid w:val="00743E65"/>
    <w:rsid w:val="00743FCD"/>
    <w:rsid w:val="007443A3"/>
    <w:rsid w:val="0074563D"/>
    <w:rsid w:val="007457E9"/>
    <w:rsid w:val="00745F33"/>
    <w:rsid w:val="0074634F"/>
    <w:rsid w:val="00746669"/>
    <w:rsid w:val="00746A82"/>
    <w:rsid w:val="00746ACB"/>
    <w:rsid w:val="00746C38"/>
    <w:rsid w:val="0074724B"/>
    <w:rsid w:val="00747289"/>
    <w:rsid w:val="007504E3"/>
    <w:rsid w:val="00751638"/>
    <w:rsid w:val="0075190C"/>
    <w:rsid w:val="00751E01"/>
    <w:rsid w:val="00752A06"/>
    <w:rsid w:val="00752B24"/>
    <w:rsid w:val="00753482"/>
    <w:rsid w:val="0075498C"/>
    <w:rsid w:val="00754AA4"/>
    <w:rsid w:val="00754ABC"/>
    <w:rsid w:val="00755022"/>
    <w:rsid w:val="0075536F"/>
    <w:rsid w:val="00755D23"/>
    <w:rsid w:val="00756397"/>
    <w:rsid w:val="0075644B"/>
    <w:rsid w:val="00756A87"/>
    <w:rsid w:val="00756BF4"/>
    <w:rsid w:val="007578B2"/>
    <w:rsid w:val="00761852"/>
    <w:rsid w:val="00762757"/>
    <w:rsid w:val="00762810"/>
    <w:rsid w:val="007629C7"/>
    <w:rsid w:val="00762B90"/>
    <w:rsid w:val="00763412"/>
    <w:rsid w:val="00763B94"/>
    <w:rsid w:val="00763E51"/>
    <w:rsid w:val="0076440B"/>
    <w:rsid w:val="00764F3A"/>
    <w:rsid w:val="007650A1"/>
    <w:rsid w:val="00765614"/>
    <w:rsid w:val="00765741"/>
    <w:rsid w:val="00765FD1"/>
    <w:rsid w:val="00766857"/>
    <w:rsid w:val="00766905"/>
    <w:rsid w:val="00767A04"/>
    <w:rsid w:val="00770074"/>
    <w:rsid w:val="0077101F"/>
    <w:rsid w:val="007711C2"/>
    <w:rsid w:val="00771926"/>
    <w:rsid w:val="00771BC6"/>
    <w:rsid w:val="00772DBA"/>
    <w:rsid w:val="00773283"/>
    <w:rsid w:val="00773CE3"/>
    <w:rsid w:val="007747FC"/>
    <w:rsid w:val="00775277"/>
    <w:rsid w:val="00776295"/>
    <w:rsid w:val="0077679A"/>
    <w:rsid w:val="00776901"/>
    <w:rsid w:val="00777783"/>
    <w:rsid w:val="00780308"/>
    <w:rsid w:val="00780445"/>
    <w:rsid w:val="0078082A"/>
    <w:rsid w:val="007808ED"/>
    <w:rsid w:val="00781238"/>
    <w:rsid w:val="007819DC"/>
    <w:rsid w:val="0078277D"/>
    <w:rsid w:val="0078309C"/>
    <w:rsid w:val="00783F20"/>
    <w:rsid w:val="00784168"/>
    <w:rsid w:val="007843FC"/>
    <w:rsid w:val="00784446"/>
    <w:rsid w:val="007847A1"/>
    <w:rsid w:val="007853AE"/>
    <w:rsid w:val="007853B7"/>
    <w:rsid w:val="00785433"/>
    <w:rsid w:val="0078546E"/>
    <w:rsid w:val="00785878"/>
    <w:rsid w:val="00785C59"/>
    <w:rsid w:val="00785DF1"/>
    <w:rsid w:val="007860C8"/>
    <w:rsid w:val="007866A7"/>
    <w:rsid w:val="00786993"/>
    <w:rsid w:val="00786B16"/>
    <w:rsid w:val="0079018A"/>
    <w:rsid w:val="007903F5"/>
    <w:rsid w:val="00791445"/>
    <w:rsid w:val="00791953"/>
    <w:rsid w:val="00791CFE"/>
    <w:rsid w:val="00792405"/>
    <w:rsid w:val="0079255E"/>
    <w:rsid w:val="00792FDF"/>
    <w:rsid w:val="00794543"/>
    <w:rsid w:val="007949D5"/>
    <w:rsid w:val="00794F3F"/>
    <w:rsid w:val="007953C7"/>
    <w:rsid w:val="00795C5F"/>
    <w:rsid w:val="007973F9"/>
    <w:rsid w:val="00797F2A"/>
    <w:rsid w:val="007A03BC"/>
    <w:rsid w:val="007A0BC3"/>
    <w:rsid w:val="007A0FD4"/>
    <w:rsid w:val="007A1689"/>
    <w:rsid w:val="007A1952"/>
    <w:rsid w:val="007A1F62"/>
    <w:rsid w:val="007A2119"/>
    <w:rsid w:val="007A22F4"/>
    <w:rsid w:val="007A23D2"/>
    <w:rsid w:val="007A3B73"/>
    <w:rsid w:val="007A6407"/>
    <w:rsid w:val="007A6501"/>
    <w:rsid w:val="007A6759"/>
    <w:rsid w:val="007A721E"/>
    <w:rsid w:val="007A74F3"/>
    <w:rsid w:val="007A7ACE"/>
    <w:rsid w:val="007B0072"/>
    <w:rsid w:val="007B09F2"/>
    <w:rsid w:val="007B248A"/>
    <w:rsid w:val="007B2C53"/>
    <w:rsid w:val="007B2FDE"/>
    <w:rsid w:val="007B41BA"/>
    <w:rsid w:val="007B43BC"/>
    <w:rsid w:val="007B5382"/>
    <w:rsid w:val="007B5B96"/>
    <w:rsid w:val="007B6190"/>
    <w:rsid w:val="007B62B6"/>
    <w:rsid w:val="007B6A9B"/>
    <w:rsid w:val="007B73CD"/>
    <w:rsid w:val="007C0124"/>
    <w:rsid w:val="007C03D3"/>
    <w:rsid w:val="007C0599"/>
    <w:rsid w:val="007C0901"/>
    <w:rsid w:val="007C1777"/>
    <w:rsid w:val="007C178D"/>
    <w:rsid w:val="007C24DD"/>
    <w:rsid w:val="007C28A9"/>
    <w:rsid w:val="007C2FB8"/>
    <w:rsid w:val="007C3149"/>
    <w:rsid w:val="007C3285"/>
    <w:rsid w:val="007C3CE2"/>
    <w:rsid w:val="007C3F20"/>
    <w:rsid w:val="007C41B5"/>
    <w:rsid w:val="007C4533"/>
    <w:rsid w:val="007C564C"/>
    <w:rsid w:val="007C5DD5"/>
    <w:rsid w:val="007C64C8"/>
    <w:rsid w:val="007C6591"/>
    <w:rsid w:val="007C666A"/>
    <w:rsid w:val="007D015C"/>
    <w:rsid w:val="007D0AA0"/>
    <w:rsid w:val="007D0F7C"/>
    <w:rsid w:val="007D185A"/>
    <w:rsid w:val="007D1ECE"/>
    <w:rsid w:val="007D25ED"/>
    <w:rsid w:val="007D33DD"/>
    <w:rsid w:val="007D3433"/>
    <w:rsid w:val="007D3660"/>
    <w:rsid w:val="007D3A1A"/>
    <w:rsid w:val="007D3E32"/>
    <w:rsid w:val="007D3F07"/>
    <w:rsid w:val="007D49B1"/>
    <w:rsid w:val="007D4A64"/>
    <w:rsid w:val="007D54D4"/>
    <w:rsid w:val="007D5BAC"/>
    <w:rsid w:val="007D5C3E"/>
    <w:rsid w:val="007D64A1"/>
    <w:rsid w:val="007D6B27"/>
    <w:rsid w:val="007D6EF1"/>
    <w:rsid w:val="007D6F00"/>
    <w:rsid w:val="007D7775"/>
    <w:rsid w:val="007E0828"/>
    <w:rsid w:val="007E0BE0"/>
    <w:rsid w:val="007E1348"/>
    <w:rsid w:val="007E1535"/>
    <w:rsid w:val="007E18CB"/>
    <w:rsid w:val="007E1FF2"/>
    <w:rsid w:val="007E30A7"/>
    <w:rsid w:val="007E32EC"/>
    <w:rsid w:val="007E4A50"/>
    <w:rsid w:val="007E53A0"/>
    <w:rsid w:val="007E55B0"/>
    <w:rsid w:val="007E5766"/>
    <w:rsid w:val="007E5A10"/>
    <w:rsid w:val="007E5F1B"/>
    <w:rsid w:val="007E63AD"/>
    <w:rsid w:val="007E6A76"/>
    <w:rsid w:val="007E7579"/>
    <w:rsid w:val="007F06EE"/>
    <w:rsid w:val="007F0B77"/>
    <w:rsid w:val="007F16DB"/>
    <w:rsid w:val="007F1FD6"/>
    <w:rsid w:val="007F2310"/>
    <w:rsid w:val="007F232D"/>
    <w:rsid w:val="007F3EE7"/>
    <w:rsid w:val="007F4505"/>
    <w:rsid w:val="007F4560"/>
    <w:rsid w:val="007F495B"/>
    <w:rsid w:val="007F4EB8"/>
    <w:rsid w:val="007F602E"/>
    <w:rsid w:val="007F617E"/>
    <w:rsid w:val="007F6693"/>
    <w:rsid w:val="007F66EA"/>
    <w:rsid w:val="007F6A39"/>
    <w:rsid w:val="007F76D7"/>
    <w:rsid w:val="007F76F0"/>
    <w:rsid w:val="007F7A65"/>
    <w:rsid w:val="007F7BF4"/>
    <w:rsid w:val="007F7E1C"/>
    <w:rsid w:val="0080080D"/>
    <w:rsid w:val="008008B1"/>
    <w:rsid w:val="00801064"/>
    <w:rsid w:val="0080118A"/>
    <w:rsid w:val="0080136F"/>
    <w:rsid w:val="00801870"/>
    <w:rsid w:val="00801D46"/>
    <w:rsid w:val="008025B3"/>
    <w:rsid w:val="00802781"/>
    <w:rsid w:val="00802AAA"/>
    <w:rsid w:val="00802FA9"/>
    <w:rsid w:val="00804070"/>
    <w:rsid w:val="0080417A"/>
    <w:rsid w:val="00804262"/>
    <w:rsid w:val="00804488"/>
    <w:rsid w:val="00804C5C"/>
    <w:rsid w:val="00805061"/>
    <w:rsid w:val="0080523E"/>
    <w:rsid w:val="008065DB"/>
    <w:rsid w:val="00806EBA"/>
    <w:rsid w:val="00806EFE"/>
    <w:rsid w:val="00806F4F"/>
    <w:rsid w:val="00807F6D"/>
    <w:rsid w:val="0081079E"/>
    <w:rsid w:val="00810915"/>
    <w:rsid w:val="00810D7F"/>
    <w:rsid w:val="00811A7C"/>
    <w:rsid w:val="00812005"/>
    <w:rsid w:val="008120CD"/>
    <w:rsid w:val="008127B7"/>
    <w:rsid w:val="00812B69"/>
    <w:rsid w:val="00812E1D"/>
    <w:rsid w:val="0081300E"/>
    <w:rsid w:val="008131E5"/>
    <w:rsid w:val="00813552"/>
    <w:rsid w:val="008149AD"/>
    <w:rsid w:val="00814F9A"/>
    <w:rsid w:val="008150A8"/>
    <w:rsid w:val="008172B6"/>
    <w:rsid w:val="0081748A"/>
    <w:rsid w:val="008174C9"/>
    <w:rsid w:val="00817A2F"/>
    <w:rsid w:val="00817F61"/>
    <w:rsid w:val="00817FE2"/>
    <w:rsid w:val="0082036C"/>
    <w:rsid w:val="00820467"/>
    <w:rsid w:val="00820CEF"/>
    <w:rsid w:val="00821109"/>
    <w:rsid w:val="008216C6"/>
    <w:rsid w:val="00821F51"/>
    <w:rsid w:val="00822089"/>
    <w:rsid w:val="008220BB"/>
    <w:rsid w:val="008220DA"/>
    <w:rsid w:val="00822321"/>
    <w:rsid w:val="00822732"/>
    <w:rsid w:val="00822886"/>
    <w:rsid w:val="00822AE0"/>
    <w:rsid w:val="008231AF"/>
    <w:rsid w:val="00823898"/>
    <w:rsid w:val="008241FF"/>
    <w:rsid w:val="0082437B"/>
    <w:rsid w:val="00824755"/>
    <w:rsid w:val="00824CE2"/>
    <w:rsid w:val="008253D8"/>
    <w:rsid w:val="00825F61"/>
    <w:rsid w:val="00826267"/>
    <w:rsid w:val="00826A5C"/>
    <w:rsid w:val="00826AE3"/>
    <w:rsid w:val="00827330"/>
    <w:rsid w:val="00827C7C"/>
    <w:rsid w:val="00827D44"/>
    <w:rsid w:val="00827E05"/>
    <w:rsid w:val="00827FF9"/>
    <w:rsid w:val="00830088"/>
    <w:rsid w:val="00830D25"/>
    <w:rsid w:val="00830F52"/>
    <w:rsid w:val="00832084"/>
    <w:rsid w:val="008322F7"/>
    <w:rsid w:val="00832A0E"/>
    <w:rsid w:val="00832B67"/>
    <w:rsid w:val="00832C77"/>
    <w:rsid w:val="00832DC7"/>
    <w:rsid w:val="00834368"/>
    <w:rsid w:val="00834D0F"/>
    <w:rsid w:val="00834ED3"/>
    <w:rsid w:val="00834F1C"/>
    <w:rsid w:val="00834F91"/>
    <w:rsid w:val="00836A38"/>
    <w:rsid w:val="008370DA"/>
    <w:rsid w:val="0083747A"/>
    <w:rsid w:val="00837A81"/>
    <w:rsid w:val="00837C73"/>
    <w:rsid w:val="008415B4"/>
    <w:rsid w:val="008416F8"/>
    <w:rsid w:val="008417E5"/>
    <w:rsid w:val="008425A1"/>
    <w:rsid w:val="00842C8A"/>
    <w:rsid w:val="0084381D"/>
    <w:rsid w:val="00843866"/>
    <w:rsid w:val="008438A6"/>
    <w:rsid w:val="00843BF1"/>
    <w:rsid w:val="00844183"/>
    <w:rsid w:val="008442ED"/>
    <w:rsid w:val="0084457B"/>
    <w:rsid w:val="008448F5"/>
    <w:rsid w:val="00845A40"/>
    <w:rsid w:val="00845D64"/>
    <w:rsid w:val="00846865"/>
    <w:rsid w:val="00846E96"/>
    <w:rsid w:val="008502C3"/>
    <w:rsid w:val="0085149A"/>
    <w:rsid w:val="00851FD9"/>
    <w:rsid w:val="008520F2"/>
    <w:rsid w:val="00852511"/>
    <w:rsid w:val="00852685"/>
    <w:rsid w:val="008544BB"/>
    <w:rsid w:val="008544E2"/>
    <w:rsid w:val="00854B82"/>
    <w:rsid w:val="00855067"/>
    <w:rsid w:val="008550C4"/>
    <w:rsid w:val="00855289"/>
    <w:rsid w:val="0085530A"/>
    <w:rsid w:val="00855B0E"/>
    <w:rsid w:val="00855C2D"/>
    <w:rsid w:val="00855C44"/>
    <w:rsid w:val="008560E8"/>
    <w:rsid w:val="00856202"/>
    <w:rsid w:val="008568F5"/>
    <w:rsid w:val="008575BA"/>
    <w:rsid w:val="008578B4"/>
    <w:rsid w:val="00860469"/>
    <w:rsid w:val="008605D4"/>
    <w:rsid w:val="00860795"/>
    <w:rsid w:val="00861555"/>
    <w:rsid w:val="008619D4"/>
    <w:rsid w:val="00861D64"/>
    <w:rsid w:val="00863F4D"/>
    <w:rsid w:val="008640EA"/>
    <w:rsid w:val="008646C3"/>
    <w:rsid w:val="008663AB"/>
    <w:rsid w:val="0086682F"/>
    <w:rsid w:val="00866F43"/>
    <w:rsid w:val="0086705B"/>
    <w:rsid w:val="008672FB"/>
    <w:rsid w:val="00870746"/>
    <w:rsid w:val="00870F28"/>
    <w:rsid w:val="0087107F"/>
    <w:rsid w:val="00871311"/>
    <w:rsid w:val="008714BB"/>
    <w:rsid w:val="0087171D"/>
    <w:rsid w:val="0087178C"/>
    <w:rsid w:val="0087221D"/>
    <w:rsid w:val="008725A0"/>
    <w:rsid w:val="00872D8B"/>
    <w:rsid w:val="008731B3"/>
    <w:rsid w:val="00874249"/>
    <w:rsid w:val="0087496F"/>
    <w:rsid w:val="0087513A"/>
    <w:rsid w:val="008758EE"/>
    <w:rsid w:val="00875FAE"/>
    <w:rsid w:val="008762F2"/>
    <w:rsid w:val="008765DC"/>
    <w:rsid w:val="00876637"/>
    <w:rsid w:val="00876800"/>
    <w:rsid w:val="00876DCF"/>
    <w:rsid w:val="008770BE"/>
    <w:rsid w:val="008810CD"/>
    <w:rsid w:val="008816EA"/>
    <w:rsid w:val="00881F2D"/>
    <w:rsid w:val="00881F8A"/>
    <w:rsid w:val="00881F93"/>
    <w:rsid w:val="00881FFC"/>
    <w:rsid w:val="0088247E"/>
    <w:rsid w:val="008824C1"/>
    <w:rsid w:val="0088264C"/>
    <w:rsid w:val="00882C97"/>
    <w:rsid w:val="008834A6"/>
    <w:rsid w:val="00883930"/>
    <w:rsid w:val="00883F83"/>
    <w:rsid w:val="00885012"/>
    <w:rsid w:val="008855C1"/>
    <w:rsid w:val="00885964"/>
    <w:rsid w:val="00885D8B"/>
    <w:rsid w:val="0088609D"/>
    <w:rsid w:val="008861A0"/>
    <w:rsid w:val="00886759"/>
    <w:rsid w:val="00886B76"/>
    <w:rsid w:val="00886CCD"/>
    <w:rsid w:val="00887791"/>
    <w:rsid w:val="0089134E"/>
    <w:rsid w:val="00892189"/>
    <w:rsid w:val="00892453"/>
    <w:rsid w:val="00892E51"/>
    <w:rsid w:val="00893577"/>
    <w:rsid w:val="00893672"/>
    <w:rsid w:val="00894091"/>
    <w:rsid w:val="00894125"/>
    <w:rsid w:val="008944FF"/>
    <w:rsid w:val="00894505"/>
    <w:rsid w:val="00895AD3"/>
    <w:rsid w:val="00896614"/>
    <w:rsid w:val="0089667F"/>
    <w:rsid w:val="00897718"/>
    <w:rsid w:val="00897876"/>
    <w:rsid w:val="008A0370"/>
    <w:rsid w:val="008A0388"/>
    <w:rsid w:val="008A0473"/>
    <w:rsid w:val="008A0BBC"/>
    <w:rsid w:val="008A1693"/>
    <w:rsid w:val="008A1DAC"/>
    <w:rsid w:val="008A267F"/>
    <w:rsid w:val="008A369C"/>
    <w:rsid w:val="008A3CD0"/>
    <w:rsid w:val="008A4031"/>
    <w:rsid w:val="008A5040"/>
    <w:rsid w:val="008A55AE"/>
    <w:rsid w:val="008A5D48"/>
    <w:rsid w:val="008A65FD"/>
    <w:rsid w:val="008A68A2"/>
    <w:rsid w:val="008A7A6D"/>
    <w:rsid w:val="008B0A02"/>
    <w:rsid w:val="008B1172"/>
    <w:rsid w:val="008B284D"/>
    <w:rsid w:val="008B312C"/>
    <w:rsid w:val="008B31DC"/>
    <w:rsid w:val="008B37FA"/>
    <w:rsid w:val="008B58A9"/>
    <w:rsid w:val="008B6E39"/>
    <w:rsid w:val="008B6FEB"/>
    <w:rsid w:val="008B7055"/>
    <w:rsid w:val="008B79FE"/>
    <w:rsid w:val="008C0663"/>
    <w:rsid w:val="008C07D6"/>
    <w:rsid w:val="008C0D09"/>
    <w:rsid w:val="008C15BD"/>
    <w:rsid w:val="008C1F88"/>
    <w:rsid w:val="008C2378"/>
    <w:rsid w:val="008C2567"/>
    <w:rsid w:val="008C2F10"/>
    <w:rsid w:val="008C30F4"/>
    <w:rsid w:val="008C3483"/>
    <w:rsid w:val="008C40B8"/>
    <w:rsid w:val="008C517F"/>
    <w:rsid w:val="008C584E"/>
    <w:rsid w:val="008C59D6"/>
    <w:rsid w:val="008C5B15"/>
    <w:rsid w:val="008C6523"/>
    <w:rsid w:val="008C654B"/>
    <w:rsid w:val="008C6699"/>
    <w:rsid w:val="008C6B19"/>
    <w:rsid w:val="008C6F5B"/>
    <w:rsid w:val="008C71DD"/>
    <w:rsid w:val="008C7334"/>
    <w:rsid w:val="008C797F"/>
    <w:rsid w:val="008C7E32"/>
    <w:rsid w:val="008D04DF"/>
    <w:rsid w:val="008D0B63"/>
    <w:rsid w:val="008D1E86"/>
    <w:rsid w:val="008D2713"/>
    <w:rsid w:val="008D2F3D"/>
    <w:rsid w:val="008D3117"/>
    <w:rsid w:val="008D3FB7"/>
    <w:rsid w:val="008D414C"/>
    <w:rsid w:val="008D4300"/>
    <w:rsid w:val="008D484F"/>
    <w:rsid w:val="008D4926"/>
    <w:rsid w:val="008D4C2E"/>
    <w:rsid w:val="008D53DD"/>
    <w:rsid w:val="008D5B61"/>
    <w:rsid w:val="008D6731"/>
    <w:rsid w:val="008D67B2"/>
    <w:rsid w:val="008D7718"/>
    <w:rsid w:val="008D7930"/>
    <w:rsid w:val="008E008B"/>
    <w:rsid w:val="008E109D"/>
    <w:rsid w:val="008E113A"/>
    <w:rsid w:val="008E116E"/>
    <w:rsid w:val="008E1281"/>
    <w:rsid w:val="008E1DCB"/>
    <w:rsid w:val="008E23E8"/>
    <w:rsid w:val="008E2491"/>
    <w:rsid w:val="008E2BAC"/>
    <w:rsid w:val="008E2DD3"/>
    <w:rsid w:val="008E3800"/>
    <w:rsid w:val="008E399C"/>
    <w:rsid w:val="008E4226"/>
    <w:rsid w:val="008E4C92"/>
    <w:rsid w:val="008E4C97"/>
    <w:rsid w:val="008E4FC9"/>
    <w:rsid w:val="008E5A3C"/>
    <w:rsid w:val="008E5E86"/>
    <w:rsid w:val="008E69AA"/>
    <w:rsid w:val="008E6D7A"/>
    <w:rsid w:val="008E76D1"/>
    <w:rsid w:val="008E785D"/>
    <w:rsid w:val="008E7A0D"/>
    <w:rsid w:val="008E7E44"/>
    <w:rsid w:val="008F062E"/>
    <w:rsid w:val="008F13DA"/>
    <w:rsid w:val="008F1CD3"/>
    <w:rsid w:val="008F2547"/>
    <w:rsid w:val="008F4BE0"/>
    <w:rsid w:val="008F4E2D"/>
    <w:rsid w:val="008F57C5"/>
    <w:rsid w:val="008F5D63"/>
    <w:rsid w:val="008F63DE"/>
    <w:rsid w:val="008F63F2"/>
    <w:rsid w:val="008F6932"/>
    <w:rsid w:val="008F6C76"/>
    <w:rsid w:val="008F7091"/>
    <w:rsid w:val="00900097"/>
    <w:rsid w:val="00900189"/>
    <w:rsid w:val="0090024D"/>
    <w:rsid w:val="009004E8"/>
    <w:rsid w:val="00900841"/>
    <w:rsid w:val="00900F62"/>
    <w:rsid w:val="00903134"/>
    <w:rsid w:val="00903195"/>
    <w:rsid w:val="00903A79"/>
    <w:rsid w:val="009044D4"/>
    <w:rsid w:val="0090553E"/>
    <w:rsid w:val="009072E1"/>
    <w:rsid w:val="00907D7D"/>
    <w:rsid w:val="00910049"/>
    <w:rsid w:val="009101A2"/>
    <w:rsid w:val="00911A8F"/>
    <w:rsid w:val="00912D63"/>
    <w:rsid w:val="0091313B"/>
    <w:rsid w:val="009134BD"/>
    <w:rsid w:val="00913648"/>
    <w:rsid w:val="00913CA6"/>
    <w:rsid w:val="00914428"/>
    <w:rsid w:val="0091602F"/>
    <w:rsid w:val="00916AA3"/>
    <w:rsid w:val="00920498"/>
    <w:rsid w:val="00920C28"/>
    <w:rsid w:val="009211E8"/>
    <w:rsid w:val="0092176C"/>
    <w:rsid w:val="009219A5"/>
    <w:rsid w:val="009219FF"/>
    <w:rsid w:val="00922F23"/>
    <w:rsid w:val="0092376F"/>
    <w:rsid w:val="00923AA4"/>
    <w:rsid w:val="009245D9"/>
    <w:rsid w:val="009248A9"/>
    <w:rsid w:val="0092594B"/>
    <w:rsid w:val="009261FF"/>
    <w:rsid w:val="00926361"/>
    <w:rsid w:val="009266C2"/>
    <w:rsid w:val="009279AC"/>
    <w:rsid w:val="00927A60"/>
    <w:rsid w:val="0093087F"/>
    <w:rsid w:val="00930B13"/>
    <w:rsid w:val="0093149A"/>
    <w:rsid w:val="00931C32"/>
    <w:rsid w:val="0093246A"/>
    <w:rsid w:val="009327D7"/>
    <w:rsid w:val="009334A2"/>
    <w:rsid w:val="009336DD"/>
    <w:rsid w:val="00934522"/>
    <w:rsid w:val="00934531"/>
    <w:rsid w:val="009348A6"/>
    <w:rsid w:val="009367F9"/>
    <w:rsid w:val="00936DDB"/>
    <w:rsid w:val="009377AE"/>
    <w:rsid w:val="0094135D"/>
    <w:rsid w:val="00941883"/>
    <w:rsid w:val="00941E9F"/>
    <w:rsid w:val="00941F39"/>
    <w:rsid w:val="009422FA"/>
    <w:rsid w:val="00942425"/>
    <w:rsid w:val="009424CF"/>
    <w:rsid w:val="00942955"/>
    <w:rsid w:val="00943392"/>
    <w:rsid w:val="009434B0"/>
    <w:rsid w:val="0094401E"/>
    <w:rsid w:val="0094418E"/>
    <w:rsid w:val="0094443B"/>
    <w:rsid w:val="009449C6"/>
    <w:rsid w:val="00944D4E"/>
    <w:rsid w:val="00945040"/>
    <w:rsid w:val="0094510E"/>
    <w:rsid w:val="00946242"/>
    <w:rsid w:val="00947DD6"/>
    <w:rsid w:val="0095004F"/>
    <w:rsid w:val="0095099C"/>
    <w:rsid w:val="0095121B"/>
    <w:rsid w:val="009519BE"/>
    <w:rsid w:val="009520C7"/>
    <w:rsid w:val="00952D2E"/>
    <w:rsid w:val="009534CD"/>
    <w:rsid w:val="00953C62"/>
    <w:rsid w:val="0095424B"/>
    <w:rsid w:val="009542EC"/>
    <w:rsid w:val="0095471E"/>
    <w:rsid w:val="009550B1"/>
    <w:rsid w:val="009553C6"/>
    <w:rsid w:val="00955842"/>
    <w:rsid w:val="0095661A"/>
    <w:rsid w:val="00957469"/>
    <w:rsid w:val="009576EB"/>
    <w:rsid w:val="00957816"/>
    <w:rsid w:val="00960477"/>
    <w:rsid w:val="00960596"/>
    <w:rsid w:val="0096097A"/>
    <w:rsid w:val="00960C71"/>
    <w:rsid w:val="009616E7"/>
    <w:rsid w:val="00961848"/>
    <w:rsid w:val="00961C15"/>
    <w:rsid w:val="00962153"/>
    <w:rsid w:val="0096282A"/>
    <w:rsid w:val="00962E67"/>
    <w:rsid w:val="00962F42"/>
    <w:rsid w:val="00963673"/>
    <w:rsid w:val="00965218"/>
    <w:rsid w:val="00965779"/>
    <w:rsid w:val="00966255"/>
    <w:rsid w:val="0096639D"/>
    <w:rsid w:val="00966BDB"/>
    <w:rsid w:val="00967137"/>
    <w:rsid w:val="00967245"/>
    <w:rsid w:val="00970275"/>
    <w:rsid w:val="00970A31"/>
    <w:rsid w:val="00971349"/>
    <w:rsid w:val="00971460"/>
    <w:rsid w:val="009715CE"/>
    <w:rsid w:val="0097190D"/>
    <w:rsid w:val="00972C94"/>
    <w:rsid w:val="00973759"/>
    <w:rsid w:val="00973BFB"/>
    <w:rsid w:val="00974241"/>
    <w:rsid w:val="00974AAE"/>
    <w:rsid w:val="0097549E"/>
    <w:rsid w:val="009754A3"/>
    <w:rsid w:val="009754DF"/>
    <w:rsid w:val="00975966"/>
    <w:rsid w:val="00975B30"/>
    <w:rsid w:val="00976114"/>
    <w:rsid w:val="009761EB"/>
    <w:rsid w:val="0097667E"/>
    <w:rsid w:val="009766A5"/>
    <w:rsid w:val="009774DE"/>
    <w:rsid w:val="0097776F"/>
    <w:rsid w:val="0098052E"/>
    <w:rsid w:val="00980EB9"/>
    <w:rsid w:val="009817F8"/>
    <w:rsid w:val="00981FF5"/>
    <w:rsid w:val="00982F14"/>
    <w:rsid w:val="009843DB"/>
    <w:rsid w:val="00984950"/>
    <w:rsid w:val="00984B89"/>
    <w:rsid w:val="00984FDF"/>
    <w:rsid w:val="00985438"/>
    <w:rsid w:val="00985C2F"/>
    <w:rsid w:val="00985E04"/>
    <w:rsid w:val="009861BC"/>
    <w:rsid w:val="00986F2C"/>
    <w:rsid w:val="00986FE2"/>
    <w:rsid w:val="009907AE"/>
    <w:rsid w:val="00991181"/>
    <w:rsid w:val="0099137A"/>
    <w:rsid w:val="00991BA2"/>
    <w:rsid w:val="00992F03"/>
    <w:rsid w:val="00993088"/>
    <w:rsid w:val="0099320B"/>
    <w:rsid w:val="009934B3"/>
    <w:rsid w:val="00993C69"/>
    <w:rsid w:val="0099406C"/>
    <w:rsid w:val="00994C2E"/>
    <w:rsid w:val="00996E63"/>
    <w:rsid w:val="00996FC2"/>
    <w:rsid w:val="009979A9"/>
    <w:rsid w:val="009A025A"/>
    <w:rsid w:val="009A0FF2"/>
    <w:rsid w:val="009A100B"/>
    <w:rsid w:val="009A13BB"/>
    <w:rsid w:val="009A1FC8"/>
    <w:rsid w:val="009A2093"/>
    <w:rsid w:val="009A2330"/>
    <w:rsid w:val="009A247B"/>
    <w:rsid w:val="009A2678"/>
    <w:rsid w:val="009A327E"/>
    <w:rsid w:val="009A339C"/>
    <w:rsid w:val="009A37E7"/>
    <w:rsid w:val="009A406A"/>
    <w:rsid w:val="009A4207"/>
    <w:rsid w:val="009A48B3"/>
    <w:rsid w:val="009A4989"/>
    <w:rsid w:val="009A498A"/>
    <w:rsid w:val="009A4D7E"/>
    <w:rsid w:val="009A55C4"/>
    <w:rsid w:val="009A5873"/>
    <w:rsid w:val="009A5BF3"/>
    <w:rsid w:val="009A5EA8"/>
    <w:rsid w:val="009A5FDF"/>
    <w:rsid w:val="009A6004"/>
    <w:rsid w:val="009A6996"/>
    <w:rsid w:val="009A6C8C"/>
    <w:rsid w:val="009A751F"/>
    <w:rsid w:val="009A7E29"/>
    <w:rsid w:val="009A7E5C"/>
    <w:rsid w:val="009A7FE9"/>
    <w:rsid w:val="009B09DA"/>
    <w:rsid w:val="009B0F2A"/>
    <w:rsid w:val="009B16CC"/>
    <w:rsid w:val="009B19BA"/>
    <w:rsid w:val="009B1CDD"/>
    <w:rsid w:val="009B2781"/>
    <w:rsid w:val="009B2A4C"/>
    <w:rsid w:val="009B35D5"/>
    <w:rsid w:val="009B3880"/>
    <w:rsid w:val="009B39B1"/>
    <w:rsid w:val="009B3A5C"/>
    <w:rsid w:val="009B3A8E"/>
    <w:rsid w:val="009B3ABA"/>
    <w:rsid w:val="009B3EFC"/>
    <w:rsid w:val="009B42F6"/>
    <w:rsid w:val="009B461C"/>
    <w:rsid w:val="009B51A4"/>
    <w:rsid w:val="009B5617"/>
    <w:rsid w:val="009B627B"/>
    <w:rsid w:val="009B65FC"/>
    <w:rsid w:val="009B7AB6"/>
    <w:rsid w:val="009B7C6F"/>
    <w:rsid w:val="009B7CA4"/>
    <w:rsid w:val="009B7E50"/>
    <w:rsid w:val="009C0122"/>
    <w:rsid w:val="009C2078"/>
    <w:rsid w:val="009C22A8"/>
    <w:rsid w:val="009C2C5B"/>
    <w:rsid w:val="009C2ECE"/>
    <w:rsid w:val="009C4DBC"/>
    <w:rsid w:val="009C4DE7"/>
    <w:rsid w:val="009C4FFF"/>
    <w:rsid w:val="009C5810"/>
    <w:rsid w:val="009C5C2A"/>
    <w:rsid w:val="009C6128"/>
    <w:rsid w:val="009C61A1"/>
    <w:rsid w:val="009C65F4"/>
    <w:rsid w:val="009C6AE0"/>
    <w:rsid w:val="009C6BAB"/>
    <w:rsid w:val="009C6BDF"/>
    <w:rsid w:val="009C6F9E"/>
    <w:rsid w:val="009C7423"/>
    <w:rsid w:val="009C7AB9"/>
    <w:rsid w:val="009C7B04"/>
    <w:rsid w:val="009C7CCA"/>
    <w:rsid w:val="009D073D"/>
    <w:rsid w:val="009D0951"/>
    <w:rsid w:val="009D1614"/>
    <w:rsid w:val="009D219F"/>
    <w:rsid w:val="009D319D"/>
    <w:rsid w:val="009D32D0"/>
    <w:rsid w:val="009D3360"/>
    <w:rsid w:val="009D39ED"/>
    <w:rsid w:val="009D44B1"/>
    <w:rsid w:val="009D601A"/>
    <w:rsid w:val="009D62CC"/>
    <w:rsid w:val="009D6A2E"/>
    <w:rsid w:val="009D6E3D"/>
    <w:rsid w:val="009D7628"/>
    <w:rsid w:val="009D7D26"/>
    <w:rsid w:val="009E0286"/>
    <w:rsid w:val="009E1582"/>
    <w:rsid w:val="009E1632"/>
    <w:rsid w:val="009E2B6D"/>
    <w:rsid w:val="009E2C9C"/>
    <w:rsid w:val="009E3044"/>
    <w:rsid w:val="009E3FF0"/>
    <w:rsid w:val="009E4020"/>
    <w:rsid w:val="009E4915"/>
    <w:rsid w:val="009E5432"/>
    <w:rsid w:val="009E5B48"/>
    <w:rsid w:val="009E61A5"/>
    <w:rsid w:val="009E655C"/>
    <w:rsid w:val="009E6ACF"/>
    <w:rsid w:val="009F0895"/>
    <w:rsid w:val="009F0DEC"/>
    <w:rsid w:val="009F1381"/>
    <w:rsid w:val="009F163F"/>
    <w:rsid w:val="009F1B6E"/>
    <w:rsid w:val="009F3B8C"/>
    <w:rsid w:val="009F4006"/>
    <w:rsid w:val="009F47F3"/>
    <w:rsid w:val="009F5068"/>
    <w:rsid w:val="009F59E7"/>
    <w:rsid w:val="009F5E4F"/>
    <w:rsid w:val="009F61DC"/>
    <w:rsid w:val="009F64B4"/>
    <w:rsid w:val="009F6CE7"/>
    <w:rsid w:val="009F6EA8"/>
    <w:rsid w:val="009F741F"/>
    <w:rsid w:val="009F77DE"/>
    <w:rsid w:val="009F7A11"/>
    <w:rsid w:val="009F7A63"/>
    <w:rsid w:val="009F7F24"/>
    <w:rsid w:val="009F7F71"/>
    <w:rsid w:val="00A00298"/>
    <w:rsid w:val="00A00941"/>
    <w:rsid w:val="00A00A12"/>
    <w:rsid w:val="00A01F8E"/>
    <w:rsid w:val="00A0247B"/>
    <w:rsid w:val="00A0253C"/>
    <w:rsid w:val="00A025F2"/>
    <w:rsid w:val="00A02775"/>
    <w:rsid w:val="00A02DB9"/>
    <w:rsid w:val="00A03B3F"/>
    <w:rsid w:val="00A046D0"/>
    <w:rsid w:val="00A048EF"/>
    <w:rsid w:val="00A04A7A"/>
    <w:rsid w:val="00A05B00"/>
    <w:rsid w:val="00A05ED6"/>
    <w:rsid w:val="00A06D95"/>
    <w:rsid w:val="00A071AC"/>
    <w:rsid w:val="00A0736B"/>
    <w:rsid w:val="00A10391"/>
    <w:rsid w:val="00A1070C"/>
    <w:rsid w:val="00A10867"/>
    <w:rsid w:val="00A11E15"/>
    <w:rsid w:val="00A123D6"/>
    <w:rsid w:val="00A12949"/>
    <w:rsid w:val="00A12A96"/>
    <w:rsid w:val="00A12EC3"/>
    <w:rsid w:val="00A12F04"/>
    <w:rsid w:val="00A136DE"/>
    <w:rsid w:val="00A13EF9"/>
    <w:rsid w:val="00A13FBC"/>
    <w:rsid w:val="00A153C9"/>
    <w:rsid w:val="00A15B6C"/>
    <w:rsid w:val="00A15EF1"/>
    <w:rsid w:val="00A17232"/>
    <w:rsid w:val="00A178ED"/>
    <w:rsid w:val="00A179B3"/>
    <w:rsid w:val="00A200BE"/>
    <w:rsid w:val="00A2058B"/>
    <w:rsid w:val="00A206E2"/>
    <w:rsid w:val="00A208F6"/>
    <w:rsid w:val="00A20DF2"/>
    <w:rsid w:val="00A21B60"/>
    <w:rsid w:val="00A21DBC"/>
    <w:rsid w:val="00A21EB0"/>
    <w:rsid w:val="00A22510"/>
    <w:rsid w:val="00A236B3"/>
    <w:rsid w:val="00A23E8E"/>
    <w:rsid w:val="00A25209"/>
    <w:rsid w:val="00A256C1"/>
    <w:rsid w:val="00A26DBA"/>
    <w:rsid w:val="00A27C2F"/>
    <w:rsid w:val="00A30365"/>
    <w:rsid w:val="00A305A9"/>
    <w:rsid w:val="00A305B5"/>
    <w:rsid w:val="00A306F3"/>
    <w:rsid w:val="00A308F1"/>
    <w:rsid w:val="00A31857"/>
    <w:rsid w:val="00A31D30"/>
    <w:rsid w:val="00A31F74"/>
    <w:rsid w:val="00A323B8"/>
    <w:rsid w:val="00A32760"/>
    <w:rsid w:val="00A332DD"/>
    <w:rsid w:val="00A3439B"/>
    <w:rsid w:val="00A34498"/>
    <w:rsid w:val="00A360C3"/>
    <w:rsid w:val="00A360FD"/>
    <w:rsid w:val="00A36156"/>
    <w:rsid w:val="00A3622A"/>
    <w:rsid w:val="00A36297"/>
    <w:rsid w:val="00A36615"/>
    <w:rsid w:val="00A367AF"/>
    <w:rsid w:val="00A3710F"/>
    <w:rsid w:val="00A37389"/>
    <w:rsid w:val="00A373BE"/>
    <w:rsid w:val="00A4014C"/>
    <w:rsid w:val="00A402DF"/>
    <w:rsid w:val="00A40D19"/>
    <w:rsid w:val="00A41C82"/>
    <w:rsid w:val="00A42A83"/>
    <w:rsid w:val="00A43266"/>
    <w:rsid w:val="00A432DA"/>
    <w:rsid w:val="00A43695"/>
    <w:rsid w:val="00A43C86"/>
    <w:rsid w:val="00A4415F"/>
    <w:rsid w:val="00A45681"/>
    <w:rsid w:val="00A45DB9"/>
    <w:rsid w:val="00A45F11"/>
    <w:rsid w:val="00A461A3"/>
    <w:rsid w:val="00A464A9"/>
    <w:rsid w:val="00A47B1F"/>
    <w:rsid w:val="00A47EC4"/>
    <w:rsid w:val="00A5072A"/>
    <w:rsid w:val="00A516EC"/>
    <w:rsid w:val="00A5195F"/>
    <w:rsid w:val="00A52A22"/>
    <w:rsid w:val="00A52A7B"/>
    <w:rsid w:val="00A534D1"/>
    <w:rsid w:val="00A538F6"/>
    <w:rsid w:val="00A55071"/>
    <w:rsid w:val="00A554B5"/>
    <w:rsid w:val="00A5581C"/>
    <w:rsid w:val="00A5593A"/>
    <w:rsid w:val="00A567BB"/>
    <w:rsid w:val="00A56893"/>
    <w:rsid w:val="00A56A08"/>
    <w:rsid w:val="00A56E90"/>
    <w:rsid w:val="00A577BB"/>
    <w:rsid w:val="00A60460"/>
    <w:rsid w:val="00A60DE5"/>
    <w:rsid w:val="00A60FF4"/>
    <w:rsid w:val="00A61594"/>
    <w:rsid w:val="00A61E76"/>
    <w:rsid w:val="00A62A87"/>
    <w:rsid w:val="00A6339E"/>
    <w:rsid w:val="00A6371A"/>
    <w:rsid w:val="00A63C84"/>
    <w:rsid w:val="00A63CB2"/>
    <w:rsid w:val="00A63D20"/>
    <w:rsid w:val="00A6442A"/>
    <w:rsid w:val="00A64516"/>
    <w:rsid w:val="00A64CB8"/>
    <w:rsid w:val="00A64EF0"/>
    <w:rsid w:val="00A6541E"/>
    <w:rsid w:val="00A6543C"/>
    <w:rsid w:val="00A65930"/>
    <w:rsid w:val="00A65F82"/>
    <w:rsid w:val="00A665DD"/>
    <w:rsid w:val="00A666D7"/>
    <w:rsid w:val="00A66B7B"/>
    <w:rsid w:val="00A67965"/>
    <w:rsid w:val="00A67BD4"/>
    <w:rsid w:val="00A700C3"/>
    <w:rsid w:val="00A702C9"/>
    <w:rsid w:val="00A70B1C"/>
    <w:rsid w:val="00A715E0"/>
    <w:rsid w:val="00A716A2"/>
    <w:rsid w:val="00A719A2"/>
    <w:rsid w:val="00A7200F"/>
    <w:rsid w:val="00A72CDE"/>
    <w:rsid w:val="00A72EFD"/>
    <w:rsid w:val="00A73100"/>
    <w:rsid w:val="00A73B08"/>
    <w:rsid w:val="00A74D30"/>
    <w:rsid w:val="00A756D4"/>
    <w:rsid w:val="00A75837"/>
    <w:rsid w:val="00A75F0B"/>
    <w:rsid w:val="00A76027"/>
    <w:rsid w:val="00A766AC"/>
    <w:rsid w:val="00A76ED5"/>
    <w:rsid w:val="00A775D5"/>
    <w:rsid w:val="00A7765E"/>
    <w:rsid w:val="00A77A84"/>
    <w:rsid w:val="00A77D6B"/>
    <w:rsid w:val="00A80E72"/>
    <w:rsid w:val="00A80F2B"/>
    <w:rsid w:val="00A8109D"/>
    <w:rsid w:val="00A81A9B"/>
    <w:rsid w:val="00A81F6C"/>
    <w:rsid w:val="00A824B2"/>
    <w:rsid w:val="00A82BC8"/>
    <w:rsid w:val="00A83ADF"/>
    <w:rsid w:val="00A84088"/>
    <w:rsid w:val="00A8557A"/>
    <w:rsid w:val="00A86061"/>
    <w:rsid w:val="00A87835"/>
    <w:rsid w:val="00A87F24"/>
    <w:rsid w:val="00A90920"/>
    <w:rsid w:val="00A91BC2"/>
    <w:rsid w:val="00A924A0"/>
    <w:rsid w:val="00A94757"/>
    <w:rsid w:val="00A9476B"/>
    <w:rsid w:val="00A94E84"/>
    <w:rsid w:val="00A953CC"/>
    <w:rsid w:val="00A956A8"/>
    <w:rsid w:val="00A95A6F"/>
    <w:rsid w:val="00A963E7"/>
    <w:rsid w:val="00A964F2"/>
    <w:rsid w:val="00A96C29"/>
    <w:rsid w:val="00A9706B"/>
    <w:rsid w:val="00A97091"/>
    <w:rsid w:val="00A976E9"/>
    <w:rsid w:val="00A97FEE"/>
    <w:rsid w:val="00AA0239"/>
    <w:rsid w:val="00AA153E"/>
    <w:rsid w:val="00AA1A19"/>
    <w:rsid w:val="00AA2356"/>
    <w:rsid w:val="00AA3210"/>
    <w:rsid w:val="00AA3AE0"/>
    <w:rsid w:val="00AA45E1"/>
    <w:rsid w:val="00AA47A7"/>
    <w:rsid w:val="00AA5855"/>
    <w:rsid w:val="00AA5D3E"/>
    <w:rsid w:val="00AA5D77"/>
    <w:rsid w:val="00AA66D9"/>
    <w:rsid w:val="00AA677D"/>
    <w:rsid w:val="00AA68E7"/>
    <w:rsid w:val="00AA68EB"/>
    <w:rsid w:val="00AA6A82"/>
    <w:rsid w:val="00AA6ED5"/>
    <w:rsid w:val="00AA7CFB"/>
    <w:rsid w:val="00AA7D73"/>
    <w:rsid w:val="00AA7FBA"/>
    <w:rsid w:val="00AB062E"/>
    <w:rsid w:val="00AB1680"/>
    <w:rsid w:val="00AB18DF"/>
    <w:rsid w:val="00AB1C97"/>
    <w:rsid w:val="00AB1DB3"/>
    <w:rsid w:val="00AB2544"/>
    <w:rsid w:val="00AB25DC"/>
    <w:rsid w:val="00AB2626"/>
    <w:rsid w:val="00AB29A8"/>
    <w:rsid w:val="00AB2FE4"/>
    <w:rsid w:val="00AB3098"/>
    <w:rsid w:val="00AB3200"/>
    <w:rsid w:val="00AB4107"/>
    <w:rsid w:val="00AB417D"/>
    <w:rsid w:val="00AB48FE"/>
    <w:rsid w:val="00AB4947"/>
    <w:rsid w:val="00AB495B"/>
    <w:rsid w:val="00AB5613"/>
    <w:rsid w:val="00AB5628"/>
    <w:rsid w:val="00AB5739"/>
    <w:rsid w:val="00AB5880"/>
    <w:rsid w:val="00AB5F48"/>
    <w:rsid w:val="00AB64E5"/>
    <w:rsid w:val="00AB669C"/>
    <w:rsid w:val="00AB711B"/>
    <w:rsid w:val="00AB75A6"/>
    <w:rsid w:val="00AC1D27"/>
    <w:rsid w:val="00AC25B1"/>
    <w:rsid w:val="00AC2B9C"/>
    <w:rsid w:val="00AC32B6"/>
    <w:rsid w:val="00AC3A97"/>
    <w:rsid w:val="00AC49A6"/>
    <w:rsid w:val="00AC5649"/>
    <w:rsid w:val="00AC59F3"/>
    <w:rsid w:val="00AC5AF2"/>
    <w:rsid w:val="00AC5DDE"/>
    <w:rsid w:val="00AC5E33"/>
    <w:rsid w:val="00AC6252"/>
    <w:rsid w:val="00AC6542"/>
    <w:rsid w:val="00AC6966"/>
    <w:rsid w:val="00AC6AC8"/>
    <w:rsid w:val="00AC7915"/>
    <w:rsid w:val="00AC7B33"/>
    <w:rsid w:val="00AC7D28"/>
    <w:rsid w:val="00AC7DEE"/>
    <w:rsid w:val="00AD0577"/>
    <w:rsid w:val="00AD06DB"/>
    <w:rsid w:val="00AD0BF1"/>
    <w:rsid w:val="00AD117F"/>
    <w:rsid w:val="00AD1519"/>
    <w:rsid w:val="00AD155D"/>
    <w:rsid w:val="00AD20C0"/>
    <w:rsid w:val="00AD2562"/>
    <w:rsid w:val="00AD2A41"/>
    <w:rsid w:val="00AD2D14"/>
    <w:rsid w:val="00AD2E25"/>
    <w:rsid w:val="00AD3006"/>
    <w:rsid w:val="00AD3638"/>
    <w:rsid w:val="00AD5680"/>
    <w:rsid w:val="00AD6707"/>
    <w:rsid w:val="00AD6BC3"/>
    <w:rsid w:val="00AD729D"/>
    <w:rsid w:val="00AD779D"/>
    <w:rsid w:val="00AE02FB"/>
    <w:rsid w:val="00AE06E6"/>
    <w:rsid w:val="00AE0D7E"/>
    <w:rsid w:val="00AE1F7E"/>
    <w:rsid w:val="00AE279E"/>
    <w:rsid w:val="00AE2EAC"/>
    <w:rsid w:val="00AE4A2E"/>
    <w:rsid w:val="00AE4CF4"/>
    <w:rsid w:val="00AE5516"/>
    <w:rsid w:val="00AE59AD"/>
    <w:rsid w:val="00AE5BDC"/>
    <w:rsid w:val="00AE65F5"/>
    <w:rsid w:val="00AE7BB8"/>
    <w:rsid w:val="00AE7CB3"/>
    <w:rsid w:val="00AF0216"/>
    <w:rsid w:val="00AF09C3"/>
    <w:rsid w:val="00AF0E45"/>
    <w:rsid w:val="00AF1473"/>
    <w:rsid w:val="00AF18F4"/>
    <w:rsid w:val="00AF197D"/>
    <w:rsid w:val="00AF1C41"/>
    <w:rsid w:val="00AF2378"/>
    <w:rsid w:val="00AF26AE"/>
    <w:rsid w:val="00AF36F4"/>
    <w:rsid w:val="00AF3D19"/>
    <w:rsid w:val="00AF45A1"/>
    <w:rsid w:val="00AF4675"/>
    <w:rsid w:val="00AF4686"/>
    <w:rsid w:val="00AF4895"/>
    <w:rsid w:val="00AF4908"/>
    <w:rsid w:val="00AF4CF4"/>
    <w:rsid w:val="00AF544F"/>
    <w:rsid w:val="00AF5453"/>
    <w:rsid w:val="00AF5962"/>
    <w:rsid w:val="00AF5A23"/>
    <w:rsid w:val="00AF5BA2"/>
    <w:rsid w:val="00AF5F10"/>
    <w:rsid w:val="00AF5FE6"/>
    <w:rsid w:val="00AF66C6"/>
    <w:rsid w:val="00AF67B4"/>
    <w:rsid w:val="00AF6C4A"/>
    <w:rsid w:val="00AF6E10"/>
    <w:rsid w:val="00AF730A"/>
    <w:rsid w:val="00B0078C"/>
    <w:rsid w:val="00B00E7B"/>
    <w:rsid w:val="00B0145A"/>
    <w:rsid w:val="00B028DC"/>
    <w:rsid w:val="00B03717"/>
    <w:rsid w:val="00B03A47"/>
    <w:rsid w:val="00B04EC3"/>
    <w:rsid w:val="00B05286"/>
    <w:rsid w:val="00B05661"/>
    <w:rsid w:val="00B058A7"/>
    <w:rsid w:val="00B05EBA"/>
    <w:rsid w:val="00B06238"/>
    <w:rsid w:val="00B06386"/>
    <w:rsid w:val="00B06973"/>
    <w:rsid w:val="00B06AF6"/>
    <w:rsid w:val="00B072CC"/>
    <w:rsid w:val="00B072DD"/>
    <w:rsid w:val="00B074E6"/>
    <w:rsid w:val="00B07900"/>
    <w:rsid w:val="00B079C8"/>
    <w:rsid w:val="00B07D20"/>
    <w:rsid w:val="00B10107"/>
    <w:rsid w:val="00B1030E"/>
    <w:rsid w:val="00B10673"/>
    <w:rsid w:val="00B12041"/>
    <w:rsid w:val="00B12157"/>
    <w:rsid w:val="00B1291F"/>
    <w:rsid w:val="00B12AF7"/>
    <w:rsid w:val="00B12D8B"/>
    <w:rsid w:val="00B12F52"/>
    <w:rsid w:val="00B13183"/>
    <w:rsid w:val="00B1506B"/>
    <w:rsid w:val="00B15553"/>
    <w:rsid w:val="00B16A18"/>
    <w:rsid w:val="00B16BED"/>
    <w:rsid w:val="00B21387"/>
    <w:rsid w:val="00B2165A"/>
    <w:rsid w:val="00B21EBE"/>
    <w:rsid w:val="00B221BD"/>
    <w:rsid w:val="00B2403C"/>
    <w:rsid w:val="00B242E7"/>
    <w:rsid w:val="00B24578"/>
    <w:rsid w:val="00B24BD0"/>
    <w:rsid w:val="00B24CC0"/>
    <w:rsid w:val="00B2519C"/>
    <w:rsid w:val="00B25274"/>
    <w:rsid w:val="00B2575E"/>
    <w:rsid w:val="00B26271"/>
    <w:rsid w:val="00B26409"/>
    <w:rsid w:val="00B26842"/>
    <w:rsid w:val="00B268B6"/>
    <w:rsid w:val="00B27F5E"/>
    <w:rsid w:val="00B306AE"/>
    <w:rsid w:val="00B30EAA"/>
    <w:rsid w:val="00B31AD2"/>
    <w:rsid w:val="00B327DD"/>
    <w:rsid w:val="00B32CAE"/>
    <w:rsid w:val="00B33C08"/>
    <w:rsid w:val="00B33EDE"/>
    <w:rsid w:val="00B347B5"/>
    <w:rsid w:val="00B3545B"/>
    <w:rsid w:val="00B35540"/>
    <w:rsid w:val="00B3563A"/>
    <w:rsid w:val="00B35A88"/>
    <w:rsid w:val="00B35E28"/>
    <w:rsid w:val="00B36434"/>
    <w:rsid w:val="00B3733B"/>
    <w:rsid w:val="00B37943"/>
    <w:rsid w:val="00B37B76"/>
    <w:rsid w:val="00B401C5"/>
    <w:rsid w:val="00B40A1D"/>
    <w:rsid w:val="00B41214"/>
    <w:rsid w:val="00B41551"/>
    <w:rsid w:val="00B4206E"/>
    <w:rsid w:val="00B424B4"/>
    <w:rsid w:val="00B43340"/>
    <w:rsid w:val="00B4394E"/>
    <w:rsid w:val="00B43C30"/>
    <w:rsid w:val="00B44044"/>
    <w:rsid w:val="00B44CD4"/>
    <w:rsid w:val="00B454BE"/>
    <w:rsid w:val="00B45508"/>
    <w:rsid w:val="00B459AD"/>
    <w:rsid w:val="00B46B88"/>
    <w:rsid w:val="00B47BB2"/>
    <w:rsid w:val="00B47D55"/>
    <w:rsid w:val="00B5000B"/>
    <w:rsid w:val="00B516C5"/>
    <w:rsid w:val="00B521FD"/>
    <w:rsid w:val="00B540A8"/>
    <w:rsid w:val="00B54713"/>
    <w:rsid w:val="00B54F40"/>
    <w:rsid w:val="00B55CAF"/>
    <w:rsid w:val="00B563D7"/>
    <w:rsid w:val="00B566F6"/>
    <w:rsid w:val="00B56849"/>
    <w:rsid w:val="00B570A2"/>
    <w:rsid w:val="00B573D1"/>
    <w:rsid w:val="00B5774C"/>
    <w:rsid w:val="00B57F17"/>
    <w:rsid w:val="00B604EB"/>
    <w:rsid w:val="00B60795"/>
    <w:rsid w:val="00B609A2"/>
    <w:rsid w:val="00B6107E"/>
    <w:rsid w:val="00B61326"/>
    <w:rsid w:val="00B61771"/>
    <w:rsid w:val="00B61D5D"/>
    <w:rsid w:val="00B63D0E"/>
    <w:rsid w:val="00B63E84"/>
    <w:rsid w:val="00B643A7"/>
    <w:rsid w:val="00B66CC3"/>
    <w:rsid w:val="00B66D4D"/>
    <w:rsid w:val="00B6712D"/>
    <w:rsid w:val="00B67604"/>
    <w:rsid w:val="00B67D10"/>
    <w:rsid w:val="00B67EBC"/>
    <w:rsid w:val="00B70525"/>
    <w:rsid w:val="00B705C9"/>
    <w:rsid w:val="00B706D6"/>
    <w:rsid w:val="00B7085D"/>
    <w:rsid w:val="00B70D8F"/>
    <w:rsid w:val="00B7116E"/>
    <w:rsid w:val="00B71FEF"/>
    <w:rsid w:val="00B720BA"/>
    <w:rsid w:val="00B7257F"/>
    <w:rsid w:val="00B72671"/>
    <w:rsid w:val="00B728E4"/>
    <w:rsid w:val="00B7290C"/>
    <w:rsid w:val="00B733D5"/>
    <w:rsid w:val="00B7355F"/>
    <w:rsid w:val="00B73AF5"/>
    <w:rsid w:val="00B741AF"/>
    <w:rsid w:val="00B74797"/>
    <w:rsid w:val="00B74F92"/>
    <w:rsid w:val="00B75064"/>
    <w:rsid w:val="00B75BC7"/>
    <w:rsid w:val="00B75CAD"/>
    <w:rsid w:val="00B75FAE"/>
    <w:rsid w:val="00B761D6"/>
    <w:rsid w:val="00B7670D"/>
    <w:rsid w:val="00B767E2"/>
    <w:rsid w:val="00B76F36"/>
    <w:rsid w:val="00B76FCD"/>
    <w:rsid w:val="00B776F3"/>
    <w:rsid w:val="00B803FC"/>
    <w:rsid w:val="00B80BA8"/>
    <w:rsid w:val="00B80CD1"/>
    <w:rsid w:val="00B81A21"/>
    <w:rsid w:val="00B82DB0"/>
    <w:rsid w:val="00B83BA5"/>
    <w:rsid w:val="00B848F6"/>
    <w:rsid w:val="00B84D2F"/>
    <w:rsid w:val="00B86010"/>
    <w:rsid w:val="00B87902"/>
    <w:rsid w:val="00B87BC4"/>
    <w:rsid w:val="00B9024D"/>
    <w:rsid w:val="00B90C7A"/>
    <w:rsid w:val="00B91053"/>
    <w:rsid w:val="00B91777"/>
    <w:rsid w:val="00B92294"/>
    <w:rsid w:val="00B925C7"/>
    <w:rsid w:val="00B9264E"/>
    <w:rsid w:val="00B92F55"/>
    <w:rsid w:val="00B92F56"/>
    <w:rsid w:val="00B932C5"/>
    <w:rsid w:val="00B9364D"/>
    <w:rsid w:val="00B93A37"/>
    <w:rsid w:val="00B93C11"/>
    <w:rsid w:val="00B93DDC"/>
    <w:rsid w:val="00B94485"/>
    <w:rsid w:val="00B96123"/>
    <w:rsid w:val="00B962E8"/>
    <w:rsid w:val="00B967B7"/>
    <w:rsid w:val="00B972E9"/>
    <w:rsid w:val="00B97383"/>
    <w:rsid w:val="00B9780E"/>
    <w:rsid w:val="00B97D9B"/>
    <w:rsid w:val="00BA139B"/>
    <w:rsid w:val="00BA1599"/>
    <w:rsid w:val="00BA1D7B"/>
    <w:rsid w:val="00BA1E6E"/>
    <w:rsid w:val="00BA1ECF"/>
    <w:rsid w:val="00BA26B2"/>
    <w:rsid w:val="00BA2FE1"/>
    <w:rsid w:val="00BA3796"/>
    <w:rsid w:val="00BA3B7F"/>
    <w:rsid w:val="00BA496E"/>
    <w:rsid w:val="00BA519B"/>
    <w:rsid w:val="00BA53A8"/>
    <w:rsid w:val="00BA591D"/>
    <w:rsid w:val="00BA5B14"/>
    <w:rsid w:val="00BA60E1"/>
    <w:rsid w:val="00BA7914"/>
    <w:rsid w:val="00BA7AF7"/>
    <w:rsid w:val="00BB0463"/>
    <w:rsid w:val="00BB19EE"/>
    <w:rsid w:val="00BB1D5B"/>
    <w:rsid w:val="00BB1E68"/>
    <w:rsid w:val="00BB1F12"/>
    <w:rsid w:val="00BB21A4"/>
    <w:rsid w:val="00BB2D7E"/>
    <w:rsid w:val="00BB30BE"/>
    <w:rsid w:val="00BB30D2"/>
    <w:rsid w:val="00BB3968"/>
    <w:rsid w:val="00BB3FE5"/>
    <w:rsid w:val="00BB52FF"/>
    <w:rsid w:val="00BB56B6"/>
    <w:rsid w:val="00BB56D4"/>
    <w:rsid w:val="00BB5740"/>
    <w:rsid w:val="00BB5E6E"/>
    <w:rsid w:val="00BB6FB4"/>
    <w:rsid w:val="00BB731F"/>
    <w:rsid w:val="00BC088E"/>
    <w:rsid w:val="00BC2373"/>
    <w:rsid w:val="00BC26BF"/>
    <w:rsid w:val="00BC2A0F"/>
    <w:rsid w:val="00BC2AAE"/>
    <w:rsid w:val="00BC2B11"/>
    <w:rsid w:val="00BC2CB1"/>
    <w:rsid w:val="00BC31BE"/>
    <w:rsid w:val="00BC3B89"/>
    <w:rsid w:val="00BC3F59"/>
    <w:rsid w:val="00BC49B0"/>
    <w:rsid w:val="00BC50A9"/>
    <w:rsid w:val="00BC5706"/>
    <w:rsid w:val="00BC5710"/>
    <w:rsid w:val="00BC5B05"/>
    <w:rsid w:val="00BC5D10"/>
    <w:rsid w:val="00BC5DCD"/>
    <w:rsid w:val="00BC5E68"/>
    <w:rsid w:val="00BC6DDD"/>
    <w:rsid w:val="00BC7052"/>
    <w:rsid w:val="00BC78CC"/>
    <w:rsid w:val="00BD07A1"/>
    <w:rsid w:val="00BD1188"/>
    <w:rsid w:val="00BD1271"/>
    <w:rsid w:val="00BD1BD2"/>
    <w:rsid w:val="00BD209D"/>
    <w:rsid w:val="00BD238E"/>
    <w:rsid w:val="00BD2A58"/>
    <w:rsid w:val="00BD30B9"/>
    <w:rsid w:val="00BD31F1"/>
    <w:rsid w:val="00BD3D31"/>
    <w:rsid w:val="00BD3D64"/>
    <w:rsid w:val="00BD439F"/>
    <w:rsid w:val="00BD494F"/>
    <w:rsid w:val="00BD5085"/>
    <w:rsid w:val="00BD568F"/>
    <w:rsid w:val="00BD5C71"/>
    <w:rsid w:val="00BD7014"/>
    <w:rsid w:val="00BD78DB"/>
    <w:rsid w:val="00BD7D41"/>
    <w:rsid w:val="00BD7F46"/>
    <w:rsid w:val="00BD7FF9"/>
    <w:rsid w:val="00BE077B"/>
    <w:rsid w:val="00BE0A07"/>
    <w:rsid w:val="00BE0AF5"/>
    <w:rsid w:val="00BE0BFC"/>
    <w:rsid w:val="00BE0FF9"/>
    <w:rsid w:val="00BE1639"/>
    <w:rsid w:val="00BE190D"/>
    <w:rsid w:val="00BE19AC"/>
    <w:rsid w:val="00BE1CA4"/>
    <w:rsid w:val="00BE1DE7"/>
    <w:rsid w:val="00BE323D"/>
    <w:rsid w:val="00BE3567"/>
    <w:rsid w:val="00BE3F12"/>
    <w:rsid w:val="00BE5719"/>
    <w:rsid w:val="00BE576F"/>
    <w:rsid w:val="00BE5A59"/>
    <w:rsid w:val="00BE6147"/>
    <w:rsid w:val="00BE656A"/>
    <w:rsid w:val="00BE6C89"/>
    <w:rsid w:val="00BE747E"/>
    <w:rsid w:val="00BE7AA0"/>
    <w:rsid w:val="00BE7AE2"/>
    <w:rsid w:val="00BE7FEF"/>
    <w:rsid w:val="00BF058F"/>
    <w:rsid w:val="00BF1633"/>
    <w:rsid w:val="00BF1853"/>
    <w:rsid w:val="00BF1D52"/>
    <w:rsid w:val="00BF2466"/>
    <w:rsid w:val="00BF2BA8"/>
    <w:rsid w:val="00BF30E7"/>
    <w:rsid w:val="00BF3610"/>
    <w:rsid w:val="00BF3931"/>
    <w:rsid w:val="00BF3E77"/>
    <w:rsid w:val="00BF45E0"/>
    <w:rsid w:val="00BF4BE3"/>
    <w:rsid w:val="00BF55B8"/>
    <w:rsid w:val="00BF6199"/>
    <w:rsid w:val="00BF6BFF"/>
    <w:rsid w:val="00BF6C0C"/>
    <w:rsid w:val="00BF6FAA"/>
    <w:rsid w:val="00C00A0B"/>
    <w:rsid w:val="00C00C4F"/>
    <w:rsid w:val="00C00EF1"/>
    <w:rsid w:val="00C0168D"/>
    <w:rsid w:val="00C024AB"/>
    <w:rsid w:val="00C030E9"/>
    <w:rsid w:val="00C0347D"/>
    <w:rsid w:val="00C0348A"/>
    <w:rsid w:val="00C034E9"/>
    <w:rsid w:val="00C03A12"/>
    <w:rsid w:val="00C03BF5"/>
    <w:rsid w:val="00C05187"/>
    <w:rsid w:val="00C05405"/>
    <w:rsid w:val="00C07A8A"/>
    <w:rsid w:val="00C07DFB"/>
    <w:rsid w:val="00C10A00"/>
    <w:rsid w:val="00C10AFA"/>
    <w:rsid w:val="00C116CF"/>
    <w:rsid w:val="00C13225"/>
    <w:rsid w:val="00C13394"/>
    <w:rsid w:val="00C13E90"/>
    <w:rsid w:val="00C14CB3"/>
    <w:rsid w:val="00C14F95"/>
    <w:rsid w:val="00C1543E"/>
    <w:rsid w:val="00C157EB"/>
    <w:rsid w:val="00C16A48"/>
    <w:rsid w:val="00C171A9"/>
    <w:rsid w:val="00C2009B"/>
    <w:rsid w:val="00C200EF"/>
    <w:rsid w:val="00C20929"/>
    <w:rsid w:val="00C20B80"/>
    <w:rsid w:val="00C21692"/>
    <w:rsid w:val="00C21CC1"/>
    <w:rsid w:val="00C21E65"/>
    <w:rsid w:val="00C2204A"/>
    <w:rsid w:val="00C22979"/>
    <w:rsid w:val="00C24665"/>
    <w:rsid w:val="00C246BC"/>
    <w:rsid w:val="00C2476A"/>
    <w:rsid w:val="00C25413"/>
    <w:rsid w:val="00C257C5"/>
    <w:rsid w:val="00C25CC9"/>
    <w:rsid w:val="00C2623A"/>
    <w:rsid w:val="00C30EA7"/>
    <w:rsid w:val="00C31C4A"/>
    <w:rsid w:val="00C3249D"/>
    <w:rsid w:val="00C32E08"/>
    <w:rsid w:val="00C33084"/>
    <w:rsid w:val="00C33856"/>
    <w:rsid w:val="00C33CE9"/>
    <w:rsid w:val="00C33F1A"/>
    <w:rsid w:val="00C34370"/>
    <w:rsid w:val="00C34581"/>
    <w:rsid w:val="00C34D52"/>
    <w:rsid w:val="00C3500B"/>
    <w:rsid w:val="00C35DC4"/>
    <w:rsid w:val="00C364FB"/>
    <w:rsid w:val="00C36A8A"/>
    <w:rsid w:val="00C36CD8"/>
    <w:rsid w:val="00C36F0A"/>
    <w:rsid w:val="00C370DD"/>
    <w:rsid w:val="00C37111"/>
    <w:rsid w:val="00C37158"/>
    <w:rsid w:val="00C3720E"/>
    <w:rsid w:val="00C3764F"/>
    <w:rsid w:val="00C37A26"/>
    <w:rsid w:val="00C37EC7"/>
    <w:rsid w:val="00C37F0A"/>
    <w:rsid w:val="00C4053C"/>
    <w:rsid w:val="00C40C18"/>
    <w:rsid w:val="00C413EF"/>
    <w:rsid w:val="00C41753"/>
    <w:rsid w:val="00C42E17"/>
    <w:rsid w:val="00C43B86"/>
    <w:rsid w:val="00C43C04"/>
    <w:rsid w:val="00C4407B"/>
    <w:rsid w:val="00C44540"/>
    <w:rsid w:val="00C4473E"/>
    <w:rsid w:val="00C449AC"/>
    <w:rsid w:val="00C44C14"/>
    <w:rsid w:val="00C45339"/>
    <w:rsid w:val="00C45B80"/>
    <w:rsid w:val="00C460D7"/>
    <w:rsid w:val="00C467B0"/>
    <w:rsid w:val="00C46AB8"/>
    <w:rsid w:val="00C46F99"/>
    <w:rsid w:val="00C47777"/>
    <w:rsid w:val="00C47C5C"/>
    <w:rsid w:val="00C50021"/>
    <w:rsid w:val="00C50BAB"/>
    <w:rsid w:val="00C50E99"/>
    <w:rsid w:val="00C5158D"/>
    <w:rsid w:val="00C51A0F"/>
    <w:rsid w:val="00C51D59"/>
    <w:rsid w:val="00C51E1B"/>
    <w:rsid w:val="00C525C5"/>
    <w:rsid w:val="00C52A84"/>
    <w:rsid w:val="00C53269"/>
    <w:rsid w:val="00C53A22"/>
    <w:rsid w:val="00C55AF3"/>
    <w:rsid w:val="00C55D66"/>
    <w:rsid w:val="00C56147"/>
    <w:rsid w:val="00C56BC2"/>
    <w:rsid w:val="00C56DEB"/>
    <w:rsid w:val="00C56F27"/>
    <w:rsid w:val="00C5731C"/>
    <w:rsid w:val="00C57340"/>
    <w:rsid w:val="00C602F9"/>
    <w:rsid w:val="00C606B9"/>
    <w:rsid w:val="00C61923"/>
    <w:rsid w:val="00C61B41"/>
    <w:rsid w:val="00C621DD"/>
    <w:rsid w:val="00C627A9"/>
    <w:rsid w:val="00C63CB3"/>
    <w:rsid w:val="00C64261"/>
    <w:rsid w:val="00C64ECA"/>
    <w:rsid w:val="00C65850"/>
    <w:rsid w:val="00C65D12"/>
    <w:rsid w:val="00C660B3"/>
    <w:rsid w:val="00C66649"/>
    <w:rsid w:val="00C66BA7"/>
    <w:rsid w:val="00C66BF1"/>
    <w:rsid w:val="00C70057"/>
    <w:rsid w:val="00C701B0"/>
    <w:rsid w:val="00C70850"/>
    <w:rsid w:val="00C7140D"/>
    <w:rsid w:val="00C720B5"/>
    <w:rsid w:val="00C72112"/>
    <w:rsid w:val="00C723F8"/>
    <w:rsid w:val="00C72FE5"/>
    <w:rsid w:val="00C732EF"/>
    <w:rsid w:val="00C73925"/>
    <w:rsid w:val="00C73DEC"/>
    <w:rsid w:val="00C741C1"/>
    <w:rsid w:val="00C7456C"/>
    <w:rsid w:val="00C75A6A"/>
    <w:rsid w:val="00C76FC7"/>
    <w:rsid w:val="00C77A6C"/>
    <w:rsid w:val="00C8025C"/>
    <w:rsid w:val="00C8076E"/>
    <w:rsid w:val="00C812A8"/>
    <w:rsid w:val="00C815E7"/>
    <w:rsid w:val="00C8172A"/>
    <w:rsid w:val="00C81957"/>
    <w:rsid w:val="00C81EE0"/>
    <w:rsid w:val="00C82F17"/>
    <w:rsid w:val="00C83046"/>
    <w:rsid w:val="00C83ADF"/>
    <w:rsid w:val="00C83B4A"/>
    <w:rsid w:val="00C83BC7"/>
    <w:rsid w:val="00C83CAF"/>
    <w:rsid w:val="00C83F88"/>
    <w:rsid w:val="00C846A2"/>
    <w:rsid w:val="00C848A0"/>
    <w:rsid w:val="00C84CEC"/>
    <w:rsid w:val="00C85C30"/>
    <w:rsid w:val="00C86606"/>
    <w:rsid w:val="00C8698C"/>
    <w:rsid w:val="00C8726A"/>
    <w:rsid w:val="00C876B0"/>
    <w:rsid w:val="00C87A94"/>
    <w:rsid w:val="00C87B2A"/>
    <w:rsid w:val="00C90813"/>
    <w:rsid w:val="00C9176C"/>
    <w:rsid w:val="00C9259E"/>
    <w:rsid w:val="00C92728"/>
    <w:rsid w:val="00C92E4E"/>
    <w:rsid w:val="00C93FAD"/>
    <w:rsid w:val="00C93FAE"/>
    <w:rsid w:val="00C94CF6"/>
    <w:rsid w:val="00C94D6A"/>
    <w:rsid w:val="00C94FA6"/>
    <w:rsid w:val="00C9507A"/>
    <w:rsid w:val="00C95154"/>
    <w:rsid w:val="00C9537D"/>
    <w:rsid w:val="00C95425"/>
    <w:rsid w:val="00C955C9"/>
    <w:rsid w:val="00C95E55"/>
    <w:rsid w:val="00C961FD"/>
    <w:rsid w:val="00C963DA"/>
    <w:rsid w:val="00C97305"/>
    <w:rsid w:val="00C97DC5"/>
    <w:rsid w:val="00CA0053"/>
    <w:rsid w:val="00CA04A4"/>
    <w:rsid w:val="00CA0884"/>
    <w:rsid w:val="00CA0EBE"/>
    <w:rsid w:val="00CA1B5F"/>
    <w:rsid w:val="00CA1B86"/>
    <w:rsid w:val="00CA1BBF"/>
    <w:rsid w:val="00CA2426"/>
    <w:rsid w:val="00CA2449"/>
    <w:rsid w:val="00CA319E"/>
    <w:rsid w:val="00CA3526"/>
    <w:rsid w:val="00CA37E8"/>
    <w:rsid w:val="00CA4D3B"/>
    <w:rsid w:val="00CA4DD3"/>
    <w:rsid w:val="00CA7A46"/>
    <w:rsid w:val="00CA7BA4"/>
    <w:rsid w:val="00CB0B64"/>
    <w:rsid w:val="00CB0D2E"/>
    <w:rsid w:val="00CB114E"/>
    <w:rsid w:val="00CB13AE"/>
    <w:rsid w:val="00CB1E42"/>
    <w:rsid w:val="00CB2C63"/>
    <w:rsid w:val="00CB2D94"/>
    <w:rsid w:val="00CB497C"/>
    <w:rsid w:val="00CB586C"/>
    <w:rsid w:val="00CB64CD"/>
    <w:rsid w:val="00CB67AD"/>
    <w:rsid w:val="00CB6965"/>
    <w:rsid w:val="00CB69C2"/>
    <w:rsid w:val="00CB6DE8"/>
    <w:rsid w:val="00CB7008"/>
    <w:rsid w:val="00CB7165"/>
    <w:rsid w:val="00CB7928"/>
    <w:rsid w:val="00CC0ACA"/>
    <w:rsid w:val="00CC10E5"/>
    <w:rsid w:val="00CC14B4"/>
    <w:rsid w:val="00CC161D"/>
    <w:rsid w:val="00CC2111"/>
    <w:rsid w:val="00CC2A66"/>
    <w:rsid w:val="00CC2C75"/>
    <w:rsid w:val="00CC3472"/>
    <w:rsid w:val="00CC34B8"/>
    <w:rsid w:val="00CC362A"/>
    <w:rsid w:val="00CC3B56"/>
    <w:rsid w:val="00CC5179"/>
    <w:rsid w:val="00CC531E"/>
    <w:rsid w:val="00CC554B"/>
    <w:rsid w:val="00CC5BC7"/>
    <w:rsid w:val="00CC5BD9"/>
    <w:rsid w:val="00CC6A3B"/>
    <w:rsid w:val="00CC7200"/>
    <w:rsid w:val="00CC72E6"/>
    <w:rsid w:val="00CC7868"/>
    <w:rsid w:val="00CD000D"/>
    <w:rsid w:val="00CD0FD5"/>
    <w:rsid w:val="00CD0FFF"/>
    <w:rsid w:val="00CD2385"/>
    <w:rsid w:val="00CD4104"/>
    <w:rsid w:val="00CD43A5"/>
    <w:rsid w:val="00CD4656"/>
    <w:rsid w:val="00CD51A9"/>
    <w:rsid w:val="00CD55C7"/>
    <w:rsid w:val="00CD6245"/>
    <w:rsid w:val="00CD6654"/>
    <w:rsid w:val="00CD69F2"/>
    <w:rsid w:val="00CD7190"/>
    <w:rsid w:val="00CD780D"/>
    <w:rsid w:val="00CE15E4"/>
    <w:rsid w:val="00CE18F1"/>
    <w:rsid w:val="00CE1940"/>
    <w:rsid w:val="00CE19DD"/>
    <w:rsid w:val="00CE2730"/>
    <w:rsid w:val="00CE2869"/>
    <w:rsid w:val="00CE2C1B"/>
    <w:rsid w:val="00CE2F24"/>
    <w:rsid w:val="00CE315E"/>
    <w:rsid w:val="00CE3950"/>
    <w:rsid w:val="00CE3DE2"/>
    <w:rsid w:val="00CE3E75"/>
    <w:rsid w:val="00CE4B4B"/>
    <w:rsid w:val="00CE5487"/>
    <w:rsid w:val="00CE6FD9"/>
    <w:rsid w:val="00CE7008"/>
    <w:rsid w:val="00CE753B"/>
    <w:rsid w:val="00CE7D1C"/>
    <w:rsid w:val="00CE7DA6"/>
    <w:rsid w:val="00CF014E"/>
    <w:rsid w:val="00CF11AD"/>
    <w:rsid w:val="00CF176A"/>
    <w:rsid w:val="00CF17F9"/>
    <w:rsid w:val="00CF1FA3"/>
    <w:rsid w:val="00CF2AC6"/>
    <w:rsid w:val="00CF2F07"/>
    <w:rsid w:val="00CF3968"/>
    <w:rsid w:val="00CF3BA6"/>
    <w:rsid w:val="00CF4491"/>
    <w:rsid w:val="00CF4D46"/>
    <w:rsid w:val="00CF62EB"/>
    <w:rsid w:val="00CF6346"/>
    <w:rsid w:val="00CF64E6"/>
    <w:rsid w:val="00CF735D"/>
    <w:rsid w:val="00CF778B"/>
    <w:rsid w:val="00D0055F"/>
    <w:rsid w:val="00D0064C"/>
    <w:rsid w:val="00D01482"/>
    <w:rsid w:val="00D02A80"/>
    <w:rsid w:val="00D02CB2"/>
    <w:rsid w:val="00D02EA8"/>
    <w:rsid w:val="00D03C01"/>
    <w:rsid w:val="00D04350"/>
    <w:rsid w:val="00D0517A"/>
    <w:rsid w:val="00D05BBC"/>
    <w:rsid w:val="00D05C8B"/>
    <w:rsid w:val="00D063BC"/>
    <w:rsid w:val="00D06F6A"/>
    <w:rsid w:val="00D07335"/>
    <w:rsid w:val="00D0746B"/>
    <w:rsid w:val="00D07700"/>
    <w:rsid w:val="00D07C55"/>
    <w:rsid w:val="00D07FF1"/>
    <w:rsid w:val="00D1017A"/>
    <w:rsid w:val="00D10FD2"/>
    <w:rsid w:val="00D1232D"/>
    <w:rsid w:val="00D12652"/>
    <w:rsid w:val="00D12D36"/>
    <w:rsid w:val="00D134FB"/>
    <w:rsid w:val="00D13991"/>
    <w:rsid w:val="00D13D32"/>
    <w:rsid w:val="00D14378"/>
    <w:rsid w:val="00D1480A"/>
    <w:rsid w:val="00D14E71"/>
    <w:rsid w:val="00D162A5"/>
    <w:rsid w:val="00D1634E"/>
    <w:rsid w:val="00D17645"/>
    <w:rsid w:val="00D17B0C"/>
    <w:rsid w:val="00D21080"/>
    <w:rsid w:val="00D22814"/>
    <w:rsid w:val="00D2316F"/>
    <w:rsid w:val="00D23355"/>
    <w:rsid w:val="00D23C6A"/>
    <w:rsid w:val="00D2412E"/>
    <w:rsid w:val="00D24A1B"/>
    <w:rsid w:val="00D24B35"/>
    <w:rsid w:val="00D26C6E"/>
    <w:rsid w:val="00D27624"/>
    <w:rsid w:val="00D27ED3"/>
    <w:rsid w:val="00D30836"/>
    <w:rsid w:val="00D30A86"/>
    <w:rsid w:val="00D30BDF"/>
    <w:rsid w:val="00D314A8"/>
    <w:rsid w:val="00D31F1F"/>
    <w:rsid w:val="00D32E6A"/>
    <w:rsid w:val="00D334F1"/>
    <w:rsid w:val="00D334FB"/>
    <w:rsid w:val="00D334FF"/>
    <w:rsid w:val="00D338B8"/>
    <w:rsid w:val="00D338FB"/>
    <w:rsid w:val="00D33AB5"/>
    <w:rsid w:val="00D33CF4"/>
    <w:rsid w:val="00D34B77"/>
    <w:rsid w:val="00D357BA"/>
    <w:rsid w:val="00D357C5"/>
    <w:rsid w:val="00D36679"/>
    <w:rsid w:val="00D369D2"/>
    <w:rsid w:val="00D36D56"/>
    <w:rsid w:val="00D3727E"/>
    <w:rsid w:val="00D374D1"/>
    <w:rsid w:val="00D37C5C"/>
    <w:rsid w:val="00D37E8A"/>
    <w:rsid w:val="00D37FB7"/>
    <w:rsid w:val="00D37FEE"/>
    <w:rsid w:val="00D4028A"/>
    <w:rsid w:val="00D40673"/>
    <w:rsid w:val="00D40FB5"/>
    <w:rsid w:val="00D410CF"/>
    <w:rsid w:val="00D42B56"/>
    <w:rsid w:val="00D4308A"/>
    <w:rsid w:val="00D431EE"/>
    <w:rsid w:val="00D433D4"/>
    <w:rsid w:val="00D43E0E"/>
    <w:rsid w:val="00D43EC4"/>
    <w:rsid w:val="00D44149"/>
    <w:rsid w:val="00D4523F"/>
    <w:rsid w:val="00D453DB"/>
    <w:rsid w:val="00D456BA"/>
    <w:rsid w:val="00D46C69"/>
    <w:rsid w:val="00D46F77"/>
    <w:rsid w:val="00D47385"/>
    <w:rsid w:val="00D47A17"/>
    <w:rsid w:val="00D5022B"/>
    <w:rsid w:val="00D5077A"/>
    <w:rsid w:val="00D508AF"/>
    <w:rsid w:val="00D50AAB"/>
    <w:rsid w:val="00D50AC7"/>
    <w:rsid w:val="00D518F8"/>
    <w:rsid w:val="00D52185"/>
    <w:rsid w:val="00D525C2"/>
    <w:rsid w:val="00D526A7"/>
    <w:rsid w:val="00D52971"/>
    <w:rsid w:val="00D52A40"/>
    <w:rsid w:val="00D52BC8"/>
    <w:rsid w:val="00D53FE3"/>
    <w:rsid w:val="00D54363"/>
    <w:rsid w:val="00D5448A"/>
    <w:rsid w:val="00D54CFF"/>
    <w:rsid w:val="00D5706A"/>
    <w:rsid w:val="00D57415"/>
    <w:rsid w:val="00D578B8"/>
    <w:rsid w:val="00D606EB"/>
    <w:rsid w:val="00D607DB"/>
    <w:rsid w:val="00D60C65"/>
    <w:rsid w:val="00D60EBE"/>
    <w:rsid w:val="00D6145E"/>
    <w:rsid w:val="00D627B8"/>
    <w:rsid w:val="00D62863"/>
    <w:rsid w:val="00D62CE4"/>
    <w:rsid w:val="00D630E8"/>
    <w:rsid w:val="00D6341D"/>
    <w:rsid w:val="00D63456"/>
    <w:rsid w:val="00D64D35"/>
    <w:rsid w:val="00D65B31"/>
    <w:rsid w:val="00D65CE5"/>
    <w:rsid w:val="00D660E4"/>
    <w:rsid w:val="00D6610D"/>
    <w:rsid w:val="00D66719"/>
    <w:rsid w:val="00D66787"/>
    <w:rsid w:val="00D667FB"/>
    <w:rsid w:val="00D66C96"/>
    <w:rsid w:val="00D6724E"/>
    <w:rsid w:val="00D70D3F"/>
    <w:rsid w:val="00D70F79"/>
    <w:rsid w:val="00D711D8"/>
    <w:rsid w:val="00D712E9"/>
    <w:rsid w:val="00D71D87"/>
    <w:rsid w:val="00D72514"/>
    <w:rsid w:val="00D726EC"/>
    <w:rsid w:val="00D727C7"/>
    <w:rsid w:val="00D7291C"/>
    <w:rsid w:val="00D7409B"/>
    <w:rsid w:val="00D7471F"/>
    <w:rsid w:val="00D74AFE"/>
    <w:rsid w:val="00D75921"/>
    <w:rsid w:val="00D76065"/>
    <w:rsid w:val="00D76571"/>
    <w:rsid w:val="00D76576"/>
    <w:rsid w:val="00D7671E"/>
    <w:rsid w:val="00D76B40"/>
    <w:rsid w:val="00D7727B"/>
    <w:rsid w:val="00D77284"/>
    <w:rsid w:val="00D77A3A"/>
    <w:rsid w:val="00D77DC2"/>
    <w:rsid w:val="00D80B11"/>
    <w:rsid w:val="00D817C0"/>
    <w:rsid w:val="00D8279A"/>
    <w:rsid w:val="00D82E0C"/>
    <w:rsid w:val="00D83B12"/>
    <w:rsid w:val="00D83DFE"/>
    <w:rsid w:val="00D842A4"/>
    <w:rsid w:val="00D848EC"/>
    <w:rsid w:val="00D84953"/>
    <w:rsid w:val="00D85065"/>
    <w:rsid w:val="00D85336"/>
    <w:rsid w:val="00D85CB8"/>
    <w:rsid w:val="00D871A7"/>
    <w:rsid w:val="00D90CC1"/>
    <w:rsid w:val="00D90D49"/>
    <w:rsid w:val="00D917EC"/>
    <w:rsid w:val="00D91D4B"/>
    <w:rsid w:val="00D92334"/>
    <w:rsid w:val="00D928DA"/>
    <w:rsid w:val="00D929DD"/>
    <w:rsid w:val="00D92C7C"/>
    <w:rsid w:val="00D92CE9"/>
    <w:rsid w:val="00D92F0D"/>
    <w:rsid w:val="00D93075"/>
    <w:rsid w:val="00D9343B"/>
    <w:rsid w:val="00D94296"/>
    <w:rsid w:val="00D94894"/>
    <w:rsid w:val="00D95986"/>
    <w:rsid w:val="00D95B32"/>
    <w:rsid w:val="00D95DCA"/>
    <w:rsid w:val="00D95E80"/>
    <w:rsid w:val="00D96AAE"/>
    <w:rsid w:val="00D96FCB"/>
    <w:rsid w:val="00D974AE"/>
    <w:rsid w:val="00DA0EDC"/>
    <w:rsid w:val="00DA1A1C"/>
    <w:rsid w:val="00DA1F90"/>
    <w:rsid w:val="00DA31EA"/>
    <w:rsid w:val="00DA345B"/>
    <w:rsid w:val="00DA35A8"/>
    <w:rsid w:val="00DA6532"/>
    <w:rsid w:val="00DB09C7"/>
    <w:rsid w:val="00DB1A72"/>
    <w:rsid w:val="00DB1C92"/>
    <w:rsid w:val="00DB20CA"/>
    <w:rsid w:val="00DB351A"/>
    <w:rsid w:val="00DB3CB0"/>
    <w:rsid w:val="00DB5120"/>
    <w:rsid w:val="00DB6715"/>
    <w:rsid w:val="00DB6BF9"/>
    <w:rsid w:val="00DB6F33"/>
    <w:rsid w:val="00DB753A"/>
    <w:rsid w:val="00DB7FA5"/>
    <w:rsid w:val="00DC007F"/>
    <w:rsid w:val="00DC08EF"/>
    <w:rsid w:val="00DC1084"/>
    <w:rsid w:val="00DC1115"/>
    <w:rsid w:val="00DC188C"/>
    <w:rsid w:val="00DC2465"/>
    <w:rsid w:val="00DC2497"/>
    <w:rsid w:val="00DC2767"/>
    <w:rsid w:val="00DC3DE6"/>
    <w:rsid w:val="00DC4AFF"/>
    <w:rsid w:val="00DC4B0A"/>
    <w:rsid w:val="00DC4B84"/>
    <w:rsid w:val="00DC4CF1"/>
    <w:rsid w:val="00DC60E3"/>
    <w:rsid w:val="00DC6B10"/>
    <w:rsid w:val="00DC765F"/>
    <w:rsid w:val="00DC7952"/>
    <w:rsid w:val="00DC7989"/>
    <w:rsid w:val="00DC7D44"/>
    <w:rsid w:val="00DD06D6"/>
    <w:rsid w:val="00DD169A"/>
    <w:rsid w:val="00DD1830"/>
    <w:rsid w:val="00DD1CD9"/>
    <w:rsid w:val="00DD1EB3"/>
    <w:rsid w:val="00DD2034"/>
    <w:rsid w:val="00DD21CA"/>
    <w:rsid w:val="00DD285E"/>
    <w:rsid w:val="00DD2F99"/>
    <w:rsid w:val="00DD396D"/>
    <w:rsid w:val="00DD47D0"/>
    <w:rsid w:val="00DD4986"/>
    <w:rsid w:val="00DD4DA9"/>
    <w:rsid w:val="00DD65F0"/>
    <w:rsid w:val="00DD76A4"/>
    <w:rsid w:val="00DD7C70"/>
    <w:rsid w:val="00DE03C9"/>
    <w:rsid w:val="00DE0F69"/>
    <w:rsid w:val="00DE1242"/>
    <w:rsid w:val="00DE1390"/>
    <w:rsid w:val="00DE19DA"/>
    <w:rsid w:val="00DE2205"/>
    <w:rsid w:val="00DE2D6D"/>
    <w:rsid w:val="00DE2D82"/>
    <w:rsid w:val="00DE342C"/>
    <w:rsid w:val="00DE35DA"/>
    <w:rsid w:val="00DE4E25"/>
    <w:rsid w:val="00DE52C6"/>
    <w:rsid w:val="00DE6179"/>
    <w:rsid w:val="00DE61A6"/>
    <w:rsid w:val="00DE67C1"/>
    <w:rsid w:val="00DE6BCB"/>
    <w:rsid w:val="00DE7250"/>
    <w:rsid w:val="00DE72B0"/>
    <w:rsid w:val="00DF02EE"/>
    <w:rsid w:val="00DF07FF"/>
    <w:rsid w:val="00DF167E"/>
    <w:rsid w:val="00DF2879"/>
    <w:rsid w:val="00DF2BF9"/>
    <w:rsid w:val="00DF39B2"/>
    <w:rsid w:val="00DF39F9"/>
    <w:rsid w:val="00DF40D6"/>
    <w:rsid w:val="00DF4A2D"/>
    <w:rsid w:val="00DF4AB4"/>
    <w:rsid w:val="00DF6F19"/>
    <w:rsid w:val="00DF7379"/>
    <w:rsid w:val="00DF7FD6"/>
    <w:rsid w:val="00E00645"/>
    <w:rsid w:val="00E00CF1"/>
    <w:rsid w:val="00E01E5F"/>
    <w:rsid w:val="00E01EA8"/>
    <w:rsid w:val="00E0210A"/>
    <w:rsid w:val="00E032EB"/>
    <w:rsid w:val="00E0413B"/>
    <w:rsid w:val="00E04DD5"/>
    <w:rsid w:val="00E05B29"/>
    <w:rsid w:val="00E05C8B"/>
    <w:rsid w:val="00E06222"/>
    <w:rsid w:val="00E0644A"/>
    <w:rsid w:val="00E075F6"/>
    <w:rsid w:val="00E07896"/>
    <w:rsid w:val="00E07B4A"/>
    <w:rsid w:val="00E10BC1"/>
    <w:rsid w:val="00E112AA"/>
    <w:rsid w:val="00E11581"/>
    <w:rsid w:val="00E11624"/>
    <w:rsid w:val="00E1196B"/>
    <w:rsid w:val="00E12240"/>
    <w:rsid w:val="00E14168"/>
    <w:rsid w:val="00E145CE"/>
    <w:rsid w:val="00E146FF"/>
    <w:rsid w:val="00E14A99"/>
    <w:rsid w:val="00E14E08"/>
    <w:rsid w:val="00E151F9"/>
    <w:rsid w:val="00E15366"/>
    <w:rsid w:val="00E154BF"/>
    <w:rsid w:val="00E15F2A"/>
    <w:rsid w:val="00E162EF"/>
    <w:rsid w:val="00E166E3"/>
    <w:rsid w:val="00E16794"/>
    <w:rsid w:val="00E16956"/>
    <w:rsid w:val="00E20FF2"/>
    <w:rsid w:val="00E21755"/>
    <w:rsid w:val="00E224BB"/>
    <w:rsid w:val="00E224C3"/>
    <w:rsid w:val="00E22B03"/>
    <w:rsid w:val="00E22FDA"/>
    <w:rsid w:val="00E2577B"/>
    <w:rsid w:val="00E25818"/>
    <w:rsid w:val="00E258AB"/>
    <w:rsid w:val="00E25E36"/>
    <w:rsid w:val="00E27294"/>
    <w:rsid w:val="00E27CB2"/>
    <w:rsid w:val="00E30374"/>
    <w:rsid w:val="00E30576"/>
    <w:rsid w:val="00E30E56"/>
    <w:rsid w:val="00E31B56"/>
    <w:rsid w:val="00E31D6D"/>
    <w:rsid w:val="00E3268E"/>
    <w:rsid w:val="00E32E1B"/>
    <w:rsid w:val="00E332B0"/>
    <w:rsid w:val="00E33A72"/>
    <w:rsid w:val="00E33C6E"/>
    <w:rsid w:val="00E33FA5"/>
    <w:rsid w:val="00E34BAF"/>
    <w:rsid w:val="00E34FD7"/>
    <w:rsid w:val="00E351A1"/>
    <w:rsid w:val="00E351FB"/>
    <w:rsid w:val="00E352B4"/>
    <w:rsid w:val="00E3533F"/>
    <w:rsid w:val="00E35E08"/>
    <w:rsid w:val="00E36347"/>
    <w:rsid w:val="00E365A2"/>
    <w:rsid w:val="00E37546"/>
    <w:rsid w:val="00E375DB"/>
    <w:rsid w:val="00E376C1"/>
    <w:rsid w:val="00E40882"/>
    <w:rsid w:val="00E41388"/>
    <w:rsid w:val="00E42C0A"/>
    <w:rsid w:val="00E43698"/>
    <w:rsid w:val="00E44173"/>
    <w:rsid w:val="00E442ED"/>
    <w:rsid w:val="00E444D7"/>
    <w:rsid w:val="00E446B1"/>
    <w:rsid w:val="00E446C3"/>
    <w:rsid w:val="00E4547F"/>
    <w:rsid w:val="00E45BF6"/>
    <w:rsid w:val="00E463A0"/>
    <w:rsid w:val="00E5022A"/>
    <w:rsid w:val="00E50493"/>
    <w:rsid w:val="00E5186E"/>
    <w:rsid w:val="00E52B83"/>
    <w:rsid w:val="00E52D38"/>
    <w:rsid w:val="00E5306C"/>
    <w:rsid w:val="00E53633"/>
    <w:rsid w:val="00E53A14"/>
    <w:rsid w:val="00E53E10"/>
    <w:rsid w:val="00E5427F"/>
    <w:rsid w:val="00E54809"/>
    <w:rsid w:val="00E54936"/>
    <w:rsid w:val="00E550E1"/>
    <w:rsid w:val="00E551E4"/>
    <w:rsid w:val="00E553B1"/>
    <w:rsid w:val="00E55846"/>
    <w:rsid w:val="00E562E4"/>
    <w:rsid w:val="00E57274"/>
    <w:rsid w:val="00E57279"/>
    <w:rsid w:val="00E57559"/>
    <w:rsid w:val="00E57BD2"/>
    <w:rsid w:val="00E57BF4"/>
    <w:rsid w:val="00E57D57"/>
    <w:rsid w:val="00E57D99"/>
    <w:rsid w:val="00E6080E"/>
    <w:rsid w:val="00E624E4"/>
    <w:rsid w:val="00E62921"/>
    <w:rsid w:val="00E629C3"/>
    <w:rsid w:val="00E63582"/>
    <w:rsid w:val="00E635BF"/>
    <w:rsid w:val="00E63965"/>
    <w:rsid w:val="00E63A76"/>
    <w:rsid w:val="00E63CCE"/>
    <w:rsid w:val="00E646BF"/>
    <w:rsid w:val="00E65508"/>
    <w:rsid w:val="00E658C9"/>
    <w:rsid w:val="00E662F6"/>
    <w:rsid w:val="00E665CF"/>
    <w:rsid w:val="00E667D7"/>
    <w:rsid w:val="00E66CDC"/>
    <w:rsid w:val="00E67044"/>
    <w:rsid w:val="00E671BF"/>
    <w:rsid w:val="00E677FD"/>
    <w:rsid w:val="00E70675"/>
    <w:rsid w:val="00E70E7A"/>
    <w:rsid w:val="00E71556"/>
    <w:rsid w:val="00E72519"/>
    <w:rsid w:val="00E72B5A"/>
    <w:rsid w:val="00E72E2A"/>
    <w:rsid w:val="00E73C8A"/>
    <w:rsid w:val="00E74CEF"/>
    <w:rsid w:val="00E74EC1"/>
    <w:rsid w:val="00E753B5"/>
    <w:rsid w:val="00E764AB"/>
    <w:rsid w:val="00E77203"/>
    <w:rsid w:val="00E77204"/>
    <w:rsid w:val="00E77E10"/>
    <w:rsid w:val="00E8010B"/>
    <w:rsid w:val="00E814DE"/>
    <w:rsid w:val="00E8174B"/>
    <w:rsid w:val="00E81987"/>
    <w:rsid w:val="00E830BE"/>
    <w:rsid w:val="00E83236"/>
    <w:rsid w:val="00E8377F"/>
    <w:rsid w:val="00E851E8"/>
    <w:rsid w:val="00E85529"/>
    <w:rsid w:val="00E861FD"/>
    <w:rsid w:val="00E866FA"/>
    <w:rsid w:val="00E8686E"/>
    <w:rsid w:val="00E869D5"/>
    <w:rsid w:val="00E86FE7"/>
    <w:rsid w:val="00E86FEF"/>
    <w:rsid w:val="00E87001"/>
    <w:rsid w:val="00E87066"/>
    <w:rsid w:val="00E8709E"/>
    <w:rsid w:val="00E87FEA"/>
    <w:rsid w:val="00E90886"/>
    <w:rsid w:val="00E90AD6"/>
    <w:rsid w:val="00E90D92"/>
    <w:rsid w:val="00E911B4"/>
    <w:rsid w:val="00E914EF"/>
    <w:rsid w:val="00E91AA4"/>
    <w:rsid w:val="00E920CE"/>
    <w:rsid w:val="00E9213A"/>
    <w:rsid w:val="00E92798"/>
    <w:rsid w:val="00E94175"/>
    <w:rsid w:val="00E94C0C"/>
    <w:rsid w:val="00E9544B"/>
    <w:rsid w:val="00E95E43"/>
    <w:rsid w:val="00E960A9"/>
    <w:rsid w:val="00E9644E"/>
    <w:rsid w:val="00E967B5"/>
    <w:rsid w:val="00E96AE5"/>
    <w:rsid w:val="00E97005"/>
    <w:rsid w:val="00E9746C"/>
    <w:rsid w:val="00E977E6"/>
    <w:rsid w:val="00E97B2D"/>
    <w:rsid w:val="00EA0372"/>
    <w:rsid w:val="00EA081A"/>
    <w:rsid w:val="00EA0B3F"/>
    <w:rsid w:val="00EA1124"/>
    <w:rsid w:val="00EA2037"/>
    <w:rsid w:val="00EA27E9"/>
    <w:rsid w:val="00EA2872"/>
    <w:rsid w:val="00EA2913"/>
    <w:rsid w:val="00EA2D90"/>
    <w:rsid w:val="00EA348A"/>
    <w:rsid w:val="00EA362C"/>
    <w:rsid w:val="00EA396D"/>
    <w:rsid w:val="00EA4D5D"/>
    <w:rsid w:val="00EA5142"/>
    <w:rsid w:val="00EA55C6"/>
    <w:rsid w:val="00EA6446"/>
    <w:rsid w:val="00EA6762"/>
    <w:rsid w:val="00EA67FD"/>
    <w:rsid w:val="00EA6B5A"/>
    <w:rsid w:val="00EA7BD1"/>
    <w:rsid w:val="00EB08A0"/>
    <w:rsid w:val="00EB2313"/>
    <w:rsid w:val="00EB25C4"/>
    <w:rsid w:val="00EB2BEB"/>
    <w:rsid w:val="00EB3823"/>
    <w:rsid w:val="00EB51BB"/>
    <w:rsid w:val="00EB6001"/>
    <w:rsid w:val="00EB682D"/>
    <w:rsid w:val="00EB697D"/>
    <w:rsid w:val="00EB69B7"/>
    <w:rsid w:val="00EB702D"/>
    <w:rsid w:val="00EB72A0"/>
    <w:rsid w:val="00EB7937"/>
    <w:rsid w:val="00EB7A87"/>
    <w:rsid w:val="00EC026E"/>
    <w:rsid w:val="00EC0879"/>
    <w:rsid w:val="00EC1440"/>
    <w:rsid w:val="00EC2416"/>
    <w:rsid w:val="00EC278C"/>
    <w:rsid w:val="00EC39E9"/>
    <w:rsid w:val="00EC39ED"/>
    <w:rsid w:val="00EC3DD3"/>
    <w:rsid w:val="00EC4C9D"/>
    <w:rsid w:val="00EC57A9"/>
    <w:rsid w:val="00EC5A11"/>
    <w:rsid w:val="00EC66D2"/>
    <w:rsid w:val="00EC6E32"/>
    <w:rsid w:val="00EC758E"/>
    <w:rsid w:val="00EC79A5"/>
    <w:rsid w:val="00ED02E9"/>
    <w:rsid w:val="00ED0469"/>
    <w:rsid w:val="00ED1D3D"/>
    <w:rsid w:val="00ED24E1"/>
    <w:rsid w:val="00ED2A24"/>
    <w:rsid w:val="00ED36E5"/>
    <w:rsid w:val="00ED393C"/>
    <w:rsid w:val="00ED4759"/>
    <w:rsid w:val="00ED4CC2"/>
    <w:rsid w:val="00ED4E4C"/>
    <w:rsid w:val="00ED5508"/>
    <w:rsid w:val="00ED60E5"/>
    <w:rsid w:val="00ED6FD9"/>
    <w:rsid w:val="00ED704A"/>
    <w:rsid w:val="00ED7677"/>
    <w:rsid w:val="00ED7FF6"/>
    <w:rsid w:val="00EE06F3"/>
    <w:rsid w:val="00EE0D63"/>
    <w:rsid w:val="00EE0D64"/>
    <w:rsid w:val="00EE1869"/>
    <w:rsid w:val="00EE19FB"/>
    <w:rsid w:val="00EE1FA0"/>
    <w:rsid w:val="00EE399D"/>
    <w:rsid w:val="00EE3CB1"/>
    <w:rsid w:val="00EE4054"/>
    <w:rsid w:val="00EE4867"/>
    <w:rsid w:val="00EE54FE"/>
    <w:rsid w:val="00EE5A47"/>
    <w:rsid w:val="00EE5B55"/>
    <w:rsid w:val="00EE5F7C"/>
    <w:rsid w:val="00EE6A9A"/>
    <w:rsid w:val="00EE6E9E"/>
    <w:rsid w:val="00EE7872"/>
    <w:rsid w:val="00EE7873"/>
    <w:rsid w:val="00EF0AB4"/>
    <w:rsid w:val="00EF0C46"/>
    <w:rsid w:val="00EF0FCE"/>
    <w:rsid w:val="00EF130E"/>
    <w:rsid w:val="00EF216B"/>
    <w:rsid w:val="00EF22BE"/>
    <w:rsid w:val="00EF2646"/>
    <w:rsid w:val="00EF298F"/>
    <w:rsid w:val="00EF2CE0"/>
    <w:rsid w:val="00EF2EE3"/>
    <w:rsid w:val="00EF324C"/>
    <w:rsid w:val="00EF37DC"/>
    <w:rsid w:val="00EF3931"/>
    <w:rsid w:val="00EF3F19"/>
    <w:rsid w:val="00EF4820"/>
    <w:rsid w:val="00EF49A5"/>
    <w:rsid w:val="00EF4B3E"/>
    <w:rsid w:val="00EF4E57"/>
    <w:rsid w:val="00EF504D"/>
    <w:rsid w:val="00EF50CC"/>
    <w:rsid w:val="00EF6411"/>
    <w:rsid w:val="00EF6713"/>
    <w:rsid w:val="00EF73F1"/>
    <w:rsid w:val="00EF7451"/>
    <w:rsid w:val="00EF7F82"/>
    <w:rsid w:val="00F00474"/>
    <w:rsid w:val="00F00478"/>
    <w:rsid w:val="00F004E0"/>
    <w:rsid w:val="00F00DE6"/>
    <w:rsid w:val="00F01157"/>
    <w:rsid w:val="00F0147E"/>
    <w:rsid w:val="00F01551"/>
    <w:rsid w:val="00F0176A"/>
    <w:rsid w:val="00F01AA7"/>
    <w:rsid w:val="00F01CEF"/>
    <w:rsid w:val="00F01FB2"/>
    <w:rsid w:val="00F0204C"/>
    <w:rsid w:val="00F032FE"/>
    <w:rsid w:val="00F03966"/>
    <w:rsid w:val="00F04204"/>
    <w:rsid w:val="00F0443A"/>
    <w:rsid w:val="00F04A1B"/>
    <w:rsid w:val="00F0603D"/>
    <w:rsid w:val="00F061B9"/>
    <w:rsid w:val="00F0660B"/>
    <w:rsid w:val="00F06CD7"/>
    <w:rsid w:val="00F06CD9"/>
    <w:rsid w:val="00F06DED"/>
    <w:rsid w:val="00F072D0"/>
    <w:rsid w:val="00F07C28"/>
    <w:rsid w:val="00F10A21"/>
    <w:rsid w:val="00F10D14"/>
    <w:rsid w:val="00F110A0"/>
    <w:rsid w:val="00F1112D"/>
    <w:rsid w:val="00F1156E"/>
    <w:rsid w:val="00F11AD8"/>
    <w:rsid w:val="00F11FA3"/>
    <w:rsid w:val="00F13B0E"/>
    <w:rsid w:val="00F13FD2"/>
    <w:rsid w:val="00F14B88"/>
    <w:rsid w:val="00F14F8B"/>
    <w:rsid w:val="00F154B6"/>
    <w:rsid w:val="00F158DA"/>
    <w:rsid w:val="00F201CC"/>
    <w:rsid w:val="00F20858"/>
    <w:rsid w:val="00F20992"/>
    <w:rsid w:val="00F20C47"/>
    <w:rsid w:val="00F20C52"/>
    <w:rsid w:val="00F220FE"/>
    <w:rsid w:val="00F2210B"/>
    <w:rsid w:val="00F22634"/>
    <w:rsid w:val="00F22D76"/>
    <w:rsid w:val="00F23CDC"/>
    <w:rsid w:val="00F23DB5"/>
    <w:rsid w:val="00F24461"/>
    <w:rsid w:val="00F246AB"/>
    <w:rsid w:val="00F24879"/>
    <w:rsid w:val="00F24BB6"/>
    <w:rsid w:val="00F25A1A"/>
    <w:rsid w:val="00F261DF"/>
    <w:rsid w:val="00F2656E"/>
    <w:rsid w:val="00F2741D"/>
    <w:rsid w:val="00F27707"/>
    <w:rsid w:val="00F27E81"/>
    <w:rsid w:val="00F3096A"/>
    <w:rsid w:val="00F30EA0"/>
    <w:rsid w:val="00F31198"/>
    <w:rsid w:val="00F3146E"/>
    <w:rsid w:val="00F31507"/>
    <w:rsid w:val="00F31821"/>
    <w:rsid w:val="00F31D8D"/>
    <w:rsid w:val="00F32201"/>
    <w:rsid w:val="00F32DC3"/>
    <w:rsid w:val="00F34F47"/>
    <w:rsid w:val="00F354BF"/>
    <w:rsid w:val="00F365FE"/>
    <w:rsid w:val="00F36E6C"/>
    <w:rsid w:val="00F36FD9"/>
    <w:rsid w:val="00F36FFD"/>
    <w:rsid w:val="00F37B29"/>
    <w:rsid w:val="00F4086C"/>
    <w:rsid w:val="00F40A71"/>
    <w:rsid w:val="00F40BE1"/>
    <w:rsid w:val="00F40CF2"/>
    <w:rsid w:val="00F41BB0"/>
    <w:rsid w:val="00F41CE9"/>
    <w:rsid w:val="00F4219B"/>
    <w:rsid w:val="00F42463"/>
    <w:rsid w:val="00F42C99"/>
    <w:rsid w:val="00F43177"/>
    <w:rsid w:val="00F437AF"/>
    <w:rsid w:val="00F439AA"/>
    <w:rsid w:val="00F43C0E"/>
    <w:rsid w:val="00F43C2E"/>
    <w:rsid w:val="00F43FFE"/>
    <w:rsid w:val="00F4510C"/>
    <w:rsid w:val="00F451B9"/>
    <w:rsid w:val="00F455F2"/>
    <w:rsid w:val="00F45879"/>
    <w:rsid w:val="00F45B07"/>
    <w:rsid w:val="00F45DCC"/>
    <w:rsid w:val="00F4641A"/>
    <w:rsid w:val="00F46732"/>
    <w:rsid w:val="00F4693F"/>
    <w:rsid w:val="00F5069F"/>
    <w:rsid w:val="00F509F1"/>
    <w:rsid w:val="00F50E8D"/>
    <w:rsid w:val="00F5153D"/>
    <w:rsid w:val="00F517E3"/>
    <w:rsid w:val="00F52A09"/>
    <w:rsid w:val="00F52B25"/>
    <w:rsid w:val="00F53DEB"/>
    <w:rsid w:val="00F544FA"/>
    <w:rsid w:val="00F54AE9"/>
    <w:rsid w:val="00F552A8"/>
    <w:rsid w:val="00F56145"/>
    <w:rsid w:val="00F5680D"/>
    <w:rsid w:val="00F568C8"/>
    <w:rsid w:val="00F5788F"/>
    <w:rsid w:val="00F57B09"/>
    <w:rsid w:val="00F57CFD"/>
    <w:rsid w:val="00F6013E"/>
    <w:rsid w:val="00F6016A"/>
    <w:rsid w:val="00F608DA"/>
    <w:rsid w:val="00F6094A"/>
    <w:rsid w:val="00F60960"/>
    <w:rsid w:val="00F61150"/>
    <w:rsid w:val="00F61D50"/>
    <w:rsid w:val="00F620B5"/>
    <w:rsid w:val="00F62126"/>
    <w:rsid w:val="00F63134"/>
    <w:rsid w:val="00F635B9"/>
    <w:rsid w:val="00F645B3"/>
    <w:rsid w:val="00F64FCB"/>
    <w:rsid w:val="00F650C5"/>
    <w:rsid w:val="00F65328"/>
    <w:rsid w:val="00F65B6A"/>
    <w:rsid w:val="00F65F0D"/>
    <w:rsid w:val="00F661FA"/>
    <w:rsid w:val="00F672CD"/>
    <w:rsid w:val="00F67438"/>
    <w:rsid w:val="00F704D1"/>
    <w:rsid w:val="00F7173E"/>
    <w:rsid w:val="00F71860"/>
    <w:rsid w:val="00F7189B"/>
    <w:rsid w:val="00F71DD0"/>
    <w:rsid w:val="00F72257"/>
    <w:rsid w:val="00F728AA"/>
    <w:rsid w:val="00F72E90"/>
    <w:rsid w:val="00F731C0"/>
    <w:rsid w:val="00F73315"/>
    <w:rsid w:val="00F7334A"/>
    <w:rsid w:val="00F74180"/>
    <w:rsid w:val="00F7427E"/>
    <w:rsid w:val="00F74CAB"/>
    <w:rsid w:val="00F7528C"/>
    <w:rsid w:val="00F753EC"/>
    <w:rsid w:val="00F757B0"/>
    <w:rsid w:val="00F76451"/>
    <w:rsid w:val="00F76AD6"/>
    <w:rsid w:val="00F76C0F"/>
    <w:rsid w:val="00F76D67"/>
    <w:rsid w:val="00F76D79"/>
    <w:rsid w:val="00F76F02"/>
    <w:rsid w:val="00F77052"/>
    <w:rsid w:val="00F77E58"/>
    <w:rsid w:val="00F80296"/>
    <w:rsid w:val="00F80E22"/>
    <w:rsid w:val="00F80ED5"/>
    <w:rsid w:val="00F81134"/>
    <w:rsid w:val="00F8128B"/>
    <w:rsid w:val="00F812FA"/>
    <w:rsid w:val="00F81333"/>
    <w:rsid w:val="00F81936"/>
    <w:rsid w:val="00F822C0"/>
    <w:rsid w:val="00F82EE8"/>
    <w:rsid w:val="00F83994"/>
    <w:rsid w:val="00F83BCB"/>
    <w:rsid w:val="00F8402F"/>
    <w:rsid w:val="00F846FD"/>
    <w:rsid w:val="00F84756"/>
    <w:rsid w:val="00F85000"/>
    <w:rsid w:val="00F85514"/>
    <w:rsid w:val="00F85F96"/>
    <w:rsid w:val="00F86299"/>
    <w:rsid w:val="00F863BD"/>
    <w:rsid w:val="00F86E44"/>
    <w:rsid w:val="00F86F1D"/>
    <w:rsid w:val="00F87154"/>
    <w:rsid w:val="00F8784A"/>
    <w:rsid w:val="00F87880"/>
    <w:rsid w:val="00F87950"/>
    <w:rsid w:val="00F87A4C"/>
    <w:rsid w:val="00F87D94"/>
    <w:rsid w:val="00F901E7"/>
    <w:rsid w:val="00F90A16"/>
    <w:rsid w:val="00F90EA5"/>
    <w:rsid w:val="00F91459"/>
    <w:rsid w:val="00F91817"/>
    <w:rsid w:val="00F9210F"/>
    <w:rsid w:val="00F9396C"/>
    <w:rsid w:val="00F93CEC"/>
    <w:rsid w:val="00F94829"/>
    <w:rsid w:val="00F94A8F"/>
    <w:rsid w:val="00F94CD3"/>
    <w:rsid w:val="00F9582A"/>
    <w:rsid w:val="00F959C0"/>
    <w:rsid w:val="00F95B17"/>
    <w:rsid w:val="00F960D5"/>
    <w:rsid w:val="00F96292"/>
    <w:rsid w:val="00F965F5"/>
    <w:rsid w:val="00F96A2F"/>
    <w:rsid w:val="00F96B7F"/>
    <w:rsid w:val="00F96D15"/>
    <w:rsid w:val="00F96EC9"/>
    <w:rsid w:val="00F97D35"/>
    <w:rsid w:val="00FA0CBC"/>
    <w:rsid w:val="00FA16C3"/>
    <w:rsid w:val="00FA2787"/>
    <w:rsid w:val="00FA2C3A"/>
    <w:rsid w:val="00FA2D9C"/>
    <w:rsid w:val="00FA2F97"/>
    <w:rsid w:val="00FA3083"/>
    <w:rsid w:val="00FA3ACF"/>
    <w:rsid w:val="00FA3C00"/>
    <w:rsid w:val="00FA473D"/>
    <w:rsid w:val="00FA4D7B"/>
    <w:rsid w:val="00FA5205"/>
    <w:rsid w:val="00FA57E6"/>
    <w:rsid w:val="00FA58B1"/>
    <w:rsid w:val="00FA5EB0"/>
    <w:rsid w:val="00FA618E"/>
    <w:rsid w:val="00FA798E"/>
    <w:rsid w:val="00FA7A33"/>
    <w:rsid w:val="00FA7D52"/>
    <w:rsid w:val="00FB04C9"/>
    <w:rsid w:val="00FB077F"/>
    <w:rsid w:val="00FB1F09"/>
    <w:rsid w:val="00FB1F8B"/>
    <w:rsid w:val="00FB2E66"/>
    <w:rsid w:val="00FB2EB5"/>
    <w:rsid w:val="00FB2FC7"/>
    <w:rsid w:val="00FB41E8"/>
    <w:rsid w:val="00FB4601"/>
    <w:rsid w:val="00FB48AD"/>
    <w:rsid w:val="00FB4D38"/>
    <w:rsid w:val="00FB52B9"/>
    <w:rsid w:val="00FB5F52"/>
    <w:rsid w:val="00FB67FE"/>
    <w:rsid w:val="00FB688E"/>
    <w:rsid w:val="00FB6DF2"/>
    <w:rsid w:val="00FB769F"/>
    <w:rsid w:val="00FC02D5"/>
    <w:rsid w:val="00FC0404"/>
    <w:rsid w:val="00FC0939"/>
    <w:rsid w:val="00FC2411"/>
    <w:rsid w:val="00FC2EE4"/>
    <w:rsid w:val="00FC347C"/>
    <w:rsid w:val="00FC3485"/>
    <w:rsid w:val="00FC3CCC"/>
    <w:rsid w:val="00FC4514"/>
    <w:rsid w:val="00FC4D6F"/>
    <w:rsid w:val="00FC5CFC"/>
    <w:rsid w:val="00FC5D96"/>
    <w:rsid w:val="00FC5F65"/>
    <w:rsid w:val="00FD07E6"/>
    <w:rsid w:val="00FD1086"/>
    <w:rsid w:val="00FD2AD4"/>
    <w:rsid w:val="00FD3573"/>
    <w:rsid w:val="00FD3EE8"/>
    <w:rsid w:val="00FD472C"/>
    <w:rsid w:val="00FD4E5D"/>
    <w:rsid w:val="00FD4EE4"/>
    <w:rsid w:val="00FD5DB3"/>
    <w:rsid w:val="00FD6AD2"/>
    <w:rsid w:val="00FD6CF2"/>
    <w:rsid w:val="00FD6DC6"/>
    <w:rsid w:val="00FD7310"/>
    <w:rsid w:val="00FD75AE"/>
    <w:rsid w:val="00FD7748"/>
    <w:rsid w:val="00FE033D"/>
    <w:rsid w:val="00FE06B8"/>
    <w:rsid w:val="00FE0916"/>
    <w:rsid w:val="00FE121C"/>
    <w:rsid w:val="00FE15AD"/>
    <w:rsid w:val="00FE1CA6"/>
    <w:rsid w:val="00FE2126"/>
    <w:rsid w:val="00FE2804"/>
    <w:rsid w:val="00FE2AAB"/>
    <w:rsid w:val="00FE2F1A"/>
    <w:rsid w:val="00FE304B"/>
    <w:rsid w:val="00FE30EC"/>
    <w:rsid w:val="00FE45DF"/>
    <w:rsid w:val="00FE4708"/>
    <w:rsid w:val="00FE488E"/>
    <w:rsid w:val="00FE4E80"/>
    <w:rsid w:val="00FE533D"/>
    <w:rsid w:val="00FE58D4"/>
    <w:rsid w:val="00FE6B2A"/>
    <w:rsid w:val="00FE6D84"/>
    <w:rsid w:val="00FE6D91"/>
    <w:rsid w:val="00FE7B80"/>
    <w:rsid w:val="00FF0408"/>
    <w:rsid w:val="00FF09E5"/>
    <w:rsid w:val="00FF0FDB"/>
    <w:rsid w:val="00FF17AD"/>
    <w:rsid w:val="00FF1A0E"/>
    <w:rsid w:val="00FF2667"/>
    <w:rsid w:val="00FF2A19"/>
    <w:rsid w:val="00FF479C"/>
    <w:rsid w:val="00FF4BBE"/>
    <w:rsid w:val="00FF4C89"/>
    <w:rsid w:val="00FF6E81"/>
    <w:rsid w:val="00FF76A6"/>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505F563C"/>
  <w15:docId w15:val="{282418A3-7E65-438D-A006-3E810EF27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Times New Roman"/>
        <w:lang w:val="en-GB"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qFormat="1"/>
    <w:lsdException w:name="heading 4" w:uiPriority="9"/>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Bold)"/>
    <w:qFormat/>
    <w:rsid w:val="00771926"/>
    <w:pPr>
      <w:spacing w:after="180"/>
    </w:pPr>
    <w:rPr>
      <w:rFonts w:ascii="Helvetica Neue LT Std 65 Medium" w:hAnsi="Helvetica Neue LT Std 65 Medium"/>
      <w:color w:val="40403E"/>
      <w:sz w:val="22"/>
    </w:rPr>
  </w:style>
  <w:style w:type="paragraph" w:styleId="Heading1">
    <w:name w:val="heading 1"/>
    <w:aliases w:val="Page Heading"/>
    <w:basedOn w:val="Normal"/>
    <w:next w:val="Normal"/>
    <w:link w:val="Heading1Char"/>
    <w:uiPriority w:val="9"/>
    <w:qFormat/>
    <w:rsid w:val="007F232D"/>
    <w:pPr>
      <w:keepNext/>
      <w:keepLines/>
      <w:pageBreakBefore/>
      <w:tabs>
        <w:tab w:val="left" w:pos="680"/>
      </w:tabs>
      <w:spacing w:after="0" w:line="340" w:lineRule="atLeast"/>
      <w:outlineLvl w:val="0"/>
    </w:pPr>
    <w:rPr>
      <w:rFonts w:ascii="HelveticaNeueLT Std Med" w:eastAsiaTheme="majorEastAsia" w:hAnsi="HelveticaNeueLT Std Med" w:cstheme="majorBidi"/>
      <w:color w:val="404040" w:themeColor="text1" w:themeTint="BF"/>
      <w:sz w:val="44"/>
      <w:szCs w:val="28"/>
    </w:rPr>
  </w:style>
  <w:style w:type="paragraph" w:styleId="Heading2">
    <w:name w:val="heading 2"/>
    <w:basedOn w:val="Normal"/>
    <w:next w:val="Normal"/>
    <w:link w:val="Heading2Char"/>
    <w:uiPriority w:val="9"/>
    <w:qFormat/>
    <w:rsid w:val="00CC7868"/>
    <w:pPr>
      <w:keepNext/>
      <w:keepLines/>
      <w:numPr>
        <w:ilvl w:val="1"/>
        <w:numId w:val="4"/>
      </w:numPr>
      <w:tabs>
        <w:tab w:val="left" w:pos="680"/>
      </w:tabs>
      <w:spacing w:after="120" w:line="340" w:lineRule="atLeast"/>
      <w:outlineLvl w:val="1"/>
    </w:pPr>
    <w:rPr>
      <w:rFonts w:eastAsiaTheme="majorEastAsia" w:cstheme="majorBidi"/>
      <w:b/>
      <w:bCs/>
      <w:color w:val="7F7F7F" w:themeColor="text1" w:themeTint="80"/>
      <w:sz w:val="28"/>
      <w:szCs w:val="26"/>
    </w:rPr>
  </w:style>
  <w:style w:type="paragraph" w:styleId="Heading3">
    <w:name w:val="heading 3"/>
    <w:basedOn w:val="Normal"/>
    <w:next w:val="Normal"/>
    <w:link w:val="Heading3Char"/>
    <w:uiPriority w:val="9"/>
    <w:qFormat/>
    <w:rsid w:val="00171DB7"/>
    <w:pPr>
      <w:keepNext/>
      <w:keepLines/>
      <w:spacing w:line="340" w:lineRule="atLeast"/>
      <w:outlineLvl w:val="2"/>
    </w:pPr>
    <w:rPr>
      <w:rFonts w:asciiTheme="majorHAnsi" w:eastAsiaTheme="majorEastAsia" w:hAnsiTheme="majorHAnsi" w:cstheme="majorBidi"/>
      <w:b/>
      <w:bCs/>
      <w:color w:val="000000" w:themeColor="text1"/>
      <w:sz w:val="24"/>
    </w:rPr>
  </w:style>
  <w:style w:type="paragraph" w:styleId="Heading4">
    <w:name w:val="heading 4"/>
    <w:basedOn w:val="Normal"/>
    <w:next w:val="Normal"/>
    <w:link w:val="Heading4Char"/>
    <w:uiPriority w:val="9"/>
    <w:rsid w:val="00171DB7"/>
    <w:pPr>
      <w:keepNext/>
      <w:keepLines/>
      <w:spacing w:line="320" w:lineRule="atLeast"/>
      <w:outlineLvl w:val="3"/>
    </w:pPr>
    <w:rPr>
      <w:rFonts w:asciiTheme="majorHAnsi" w:eastAsiaTheme="majorEastAsia" w:hAnsiTheme="majorHAnsi" w:cstheme="majorBidi"/>
      <w:bCs/>
      <w:iCs/>
      <w:color w:val="7F7F7F" w:themeColor="text1" w:themeTint="8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age Heading Char"/>
    <w:basedOn w:val="DefaultParagraphFont"/>
    <w:link w:val="Heading1"/>
    <w:uiPriority w:val="9"/>
    <w:rsid w:val="007F232D"/>
    <w:rPr>
      <w:rFonts w:ascii="HelveticaNeueLT Std Med" w:eastAsiaTheme="majorEastAsia" w:hAnsi="HelveticaNeueLT Std Med" w:cstheme="majorBidi"/>
      <w:color w:val="404040" w:themeColor="text1" w:themeTint="BF"/>
      <w:sz w:val="44"/>
      <w:szCs w:val="28"/>
    </w:rPr>
  </w:style>
  <w:style w:type="character" w:customStyle="1" w:styleId="Heading2Char">
    <w:name w:val="Heading 2 Char"/>
    <w:basedOn w:val="DefaultParagraphFont"/>
    <w:link w:val="Heading2"/>
    <w:uiPriority w:val="9"/>
    <w:rsid w:val="00CC7868"/>
    <w:rPr>
      <w:rFonts w:ascii="Helvetica Neue LT Std 65 Medium" w:eastAsiaTheme="majorEastAsia" w:hAnsi="Helvetica Neue LT Std 65 Medium" w:cstheme="majorBidi"/>
      <w:b/>
      <w:bCs/>
      <w:color w:val="7F7F7F" w:themeColor="text1" w:themeTint="80"/>
      <w:sz w:val="28"/>
      <w:szCs w:val="26"/>
    </w:rPr>
  </w:style>
  <w:style w:type="paragraph" w:styleId="Header">
    <w:name w:val="header"/>
    <w:basedOn w:val="Normal"/>
    <w:link w:val="HeaderChar"/>
    <w:uiPriority w:val="99"/>
    <w:unhideWhenUsed/>
    <w:rsid w:val="00CE3E75"/>
    <w:pPr>
      <w:tabs>
        <w:tab w:val="right" w:pos="10093"/>
      </w:tabs>
      <w:spacing w:line="290" w:lineRule="atLeast"/>
    </w:pPr>
    <w:rPr>
      <w:color w:val="7F7F7F" w:themeColor="text1" w:themeTint="80"/>
      <w:sz w:val="24"/>
    </w:rPr>
  </w:style>
  <w:style w:type="character" w:customStyle="1" w:styleId="HeaderChar">
    <w:name w:val="Header Char"/>
    <w:basedOn w:val="DefaultParagraphFont"/>
    <w:link w:val="Header"/>
    <w:uiPriority w:val="99"/>
    <w:rsid w:val="00CE3E75"/>
    <w:rPr>
      <w:rFonts w:asciiTheme="minorHAnsi" w:hAnsiTheme="minorHAnsi"/>
      <w:color w:val="7F7F7F" w:themeColor="text1" w:themeTint="80"/>
      <w:sz w:val="24"/>
    </w:rPr>
  </w:style>
  <w:style w:type="paragraph" w:styleId="Footer">
    <w:name w:val="footer"/>
    <w:basedOn w:val="Normal"/>
    <w:link w:val="FooterChar"/>
    <w:uiPriority w:val="99"/>
    <w:unhideWhenUsed/>
    <w:rsid w:val="0008458B"/>
    <w:pPr>
      <w:tabs>
        <w:tab w:val="center" w:pos="4536"/>
        <w:tab w:val="right" w:pos="9072"/>
      </w:tabs>
    </w:pPr>
    <w:rPr>
      <w:color w:val="FFFFFF" w:themeColor="background1"/>
      <w:sz w:val="14"/>
    </w:rPr>
  </w:style>
  <w:style w:type="character" w:customStyle="1" w:styleId="FooterChar">
    <w:name w:val="Footer Char"/>
    <w:basedOn w:val="DefaultParagraphFont"/>
    <w:link w:val="Footer"/>
    <w:uiPriority w:val="99"/>
    <w:rsid w:val="0008458B"/>
    <w:rPr>
      <w:rFonts w:asciiTheme="minorHAnsi" w:hAnsiTheme="minorHAnsi"/>
      <w:color w:val="FFFFFF" w:themeColor="background1"/>
      <w:sz w:val="14"/>
    </w:rPr>
  </w:style>
  <w:style w:type="paragraph" w:styleId="ListNumber">
    <w:name w:val="List Number"/>
    <w:basedOn w:val="Normal"/>
    <w:qFormat/>
    <w:rsid w:val="00424F1F"/>
    <w:pPr>
      <w:numPr>
        <w:numId w:val="1"/>
      </w:numPr>
      <w:tabs>
        <w:tab w:val="left" w:pos="357"/>
      </w:tabs>
      <w:spacing w:line="240" w:lineRule="atLeast"/>
    </w:pPr>
    <w:rPr>
      <w:rFonts w:eastAsia="Times New Roman"/>
      <w:color w:val="000000" w:themeColor="text1"/>
      <w:szCs w:val="24"/>
      <w:lang w:eastAsia="en-GB"/>
    </w:rPr>
  </w:style>
  <w:style w:type="paragraph" w:styleId="ListNumber2">
    <w:name w:val="List Number 2"/>
    <w:basedOn w:val="ListNumber"/>
    <w:uiPriority w:val="99"/>
    <w:qFormat/>
    <w:rsid w:val="00622975"/>
    <w:pPr>
      <w:tabs>
        <w:tab w:val="clear" w:pos="357"/>
        <w:tab w:val="left" w:pos="714"/>
      </w:tabs>
    </w:pPr>
  </w:style>
  <w:style w:type="paragraph" w:styleId="BalloonText">
    <w:name w:val="Balloon Text"/>
    <w:basedOn w:val="Normal"/>
    <w:link w:val="BalloonTextChar"/>
    <w:uiPriority w:val="99"/>
    <w:semiHidden/>
    <w:rsid w:val="007E4A50"/>
    <w:rPr>
      <w:rFonts w:ascii="Tahoma" w:hAnsi="Tahoma" w:cs="Tahoma"/>
      <w:sz w:val="16"/>
      <w:szCs w:val="16"/>
    </w:rPr>
  </w:style>
  <w:style w:type="character" w:customStyle="1" w:styleId="BalloonTextChar">
    <w:name w:val="Balloon Text Char"/>
    <w:basedOn w:val="DefaultParagraphFont"/>
    <w:link w:val="BalloonText"/>
    <w:uiPriority w:val="99"/>
    <w:semiHidden/>
    <w:rsid w:val="007E4A50"/>
    <w:rPr>
      <w:rFonts w:ascii="Tahoma" w:hAnsi="Tahoma" w:cs="Tahoma"/>
      <w:color w:val="EEECE1" w:themeColor="background2"/>
      <w:sz w:val="16"/>
      <w:szCs w:val="16"/>
    </w:rPr>
  </w:style>
  <w:style w:type="table" w:styleId="TableGrid">
    <w:name w:val="Table Grid"/>
    <w:basedOn w:val="TableNormal"/>
    <w:uiPriority w:val="59"/>
    <w:rsid w:val="0022147F"/>
    <w:tblPr>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Pr>
    <w:tcPr>
      <w:shd w:val="clear" w:color="auto" w:fill="auto"/>
    </w:tcPr>
  </w:style>
  <w:style w:type="character" w:styleId="PlaceholderText">
    <w:name w:val="Placeholder Text"/>
    <w:basedOn w:val="DefaultParagraphFont"/>
    <w:uiPriority w:val="99"/>
    <w:semiHidden/>
    <w:rsid w:val="007E4A50"/>
    <w:rPr>
      <w:color w:val="808080"/>
    </w:rPr>
  </w:style>
  <w:style w:type="paragraph" w:styleId="ListParagraph">
    <w:name w:val="List Paragraph"/>
    <w:aliases w:val="Dot pt,List Paragraph1,Colorful List - Accent 11,No Spacing1,List Paragraph Char Char Char,Indicator Text,Numbered Para 1,Bullet 1,F5 List Paragraph,Bullet Points,List Paragraph2,MAIN CONTENT,List Paragraph12,OBC Bullet,List Paragraph11"/>
    <w:basedOn w:val="Normal"/>
    <w:link w:val="ListParagraphChar"/>
    <w:uiPriority w:val="34"/>
    <w:qFormat/>
    <w:rsid w:val="007E4A50"/>
    <w:pPr>
      <w:ind w:left="720"/>
      <w:contextualSpacing/>
    </w:pPr>
  </w:style>
  <w:style w:type="paragraph" w:styleId="ListBullet">
    <w:name w:val="List Bullet"/>
    <w:basedOn w:val="Normal"/>
    <w:uiPriority w:val="99"/>
    <w:qFormat/>
    <w:rsid w:val="00DD21CA"/>
    <w:pPr>
      <w:tabs>
        <w:tab w:val="left" w:pos="357"/>
      </w:tabs>
    </w:pPr>
    <w:rPr>
      <w:rFonts w:ascii="HelveticaNeueLT Std Lt" w:hAnsi="HelveticaNeueLT Std Lt"/>
      <w:color w:val="404040" w:themeColor="text1" w:themeTint="BF"/>
      <w:szCs w:val="22"/>
    </w:rPr>
  </w:style>
  <w:style w:type="paragraph" w:customStyle="1" w:styleId="Documenttitle">
    <w:name w:val="Document title"/>
    <w:next w:val="Documentsubtitle"/>
    <w:autoRedefine/>
    <w:qFormat/>
    <w:rsid w:val="001F7B3A"/>
    <w:pPr>
      <w:tabs>
        <w:tab w:val="left" w:pos="1072"/>
      </w:tabs>
      <w:spacing w:after="60"/>
      <w:ind w:right="4206"/>
    </w:pPr>
    <w:rPr>
      <w:rFonts w:ascii="Helvetica Neue LT Std 65 Medium" w:hAnsi="Helvetica Neue LT Std 65 Medium"/>
      <w:color w:val="242625"/>
      <w:sz w:val="44"/>
      <w:szCs w:val="12"/>
    </w:rPr>
  </w:style>
  <w:style w:type="paragraph" w:customStyle="1" w:styleId="Documentsubtitle">
    <w:name w:val="Document subtitle"/>
    <w:next w:val="BodyRegular"/>
    <w:qFormat/>
    <w:rsid w:val="00A8109D"/>
    <w:pPr>
      <w:spacing w:after="120" w:line="480" w:lineRule="atLeast"/>
    </w:pPr>
    <w:rPr>
      <w:rFonts w:ascii="Helvetica Neue LT Std 65 Medium" w:hAnsi="Helvetica Neue LT Std 65 Medium"/>
      <w:color w:val="40403E"/>
      <w:sz w:val="36"/>
    </w:rPr>
  </w:style>
  <w:style w:type="paragraph" w:customStyle="1" w:styleId="BodyRegular">
    <w:name w:val="Body (Regular)"/>
    <w:basedOn w:val="ListBullet"/>
    <w:next w:val="Normal"/>
    <w:qFormat/>
    <w:rsid w:val="007F232D"/>
    <w:rPr>
      <w:rFonts w:ascii="Helvetica Neue" w:hAnsi="Helvetica Neue"/>
    </w:rPr>
  </w:style>
  <w:style w:type="paragraph" w:customStyle="1" w:styleId="Disclaimer">
    <w:name w:val="Disclaimer"/>
    <w:basedOn w:val="Normal"/>
    <w:qFormat/>
    <w:rsid w:val="007F232D"/>
    <w:pPr>
      <w:spacing w:after="80" w:line="276" w:lineRule="auto"/>
    </w:pPr>
    <w:rPr>
      <w:rFonts w:ascii="HelveticaNeueLT Std" w:hAnsi="HelveticaNeueLT Std"/>
      <w:color w:val="A6A6A6" w:themeColor="background1" w:themeShade="A6"/>
      <w:sz w:val="16"/>
      <w:szCs w:val="16"/>
    </w:rPr>
  </w:style>
  <w:style w:type="paragraph" w:customStyle="1" w:styleId="Sectiontitle">
    <w:name w:val="Section title"/>
    <w:basedOn w:val="Normal"/>
    <w:next w:val="Normal"/>
    <w:rsid w:val="00AC32B6"/>
    <w:pPr>
      <w:pageBreakBefore/>
      <w:spacing w:after="360" w:line="530" w:lineRule="atLeast"/>
    </w:pPr>
    <w:rPr>
      <w:b/>
      <w:color w:val="008C9B" w:themeColor="text2"/>
      <w:sz w:val="44"/>
    </w:rPr>
  </w:style>
  <w:style w:type="paragraph" w:customStyle="1" w:styleId="Subsectiontitle">
    <w:name w:val="Subsection title"/>
    <w:basedOn w:val="Normal"/>
    <w:next w:val="Normal"/>
    <w:qFormat/>
    <w:rsid w:val="00DD21CA"/>
    <w:pPr>
      <w:spacing w:after="120" w:line="276" w:lineRule="auto"/>
    </w:pPr>
    <w:rPr>
      <w:rFonts w:ascii="HelveticaNeueLT Std Med" w:hAnsi="HelveticaNeueLT Std Med"/>
      <w:b/>
      <w:bCs/>
      <w:color w:val="404040" w:themeColor="text1" w:themeTint="BF"/>
      <w:szCs w:val="22"/>
    </w:rPr>
  </w:style>
  <w:style w:type="numbering" w:customStyle="1" w:styleId="Cebrlist">
    <w:name w:val="Cebr list"/>
    <w:uiPriority w:val="99"/>
    <w:rsid w:val="00F6094A"/>
    <w:pPr>
      <w:numPr>
        <w:numId w:val="3"/>
      </w:numPr>
    </w:pPr>
  </w:style>
  <w:style w:type="character" w:customStyle="1" w:styleId="Heading3Char">
    <w:name w:val="Heading 3 Char"/>
    <w:basedOn w:val="DefaultParagraphFont"/>
    <w:link w:val="Heading3"/>
    <w:uiPriority w:val="9"/>
    <w:rsid w:val="00171DB7"/>
    <w:rPr>
      <w:rFonts w:asciiTheme="majorHAnsi" w:eastAsiaTheme="majorEastAsia" w:hAnsiTheme="majorHAnsi" w:cstheme="majorBidi"/>
      <w:b/>
      <w:bCs/>
      <w:color w:val="000000" w:themeColor="text1"/>
      <w:sz w:val="24"/>
    </w:rPr>
  </w:style>
  <w:style w:type="paragraph" w:styleId="TOC1">
    <w:name w:val="toc 1"/>
    <w:basedOn w:val="Normal"/>
    <w:next w:val="Normal"/>
    <w:autoRedefine/>
    <w:uiPriority w:val="39"/>
    <w:rsid w:val="00A208F6"/>
    <w:pPr>
      <w:tabs>
        <w:tab w:val="right" w:leader="dot" w:pos="9016"/>
      </w:tabs>
      <w:spacing w:before="240" w:after="0"/>
    </w:pPr>
    <w:rPr>
      <w:rFonts w:asciiTheme="majorHAnsi" w:hAnsiTheme="majorHAnsi" w:cstheme="majorHAnsi"/>
      <w:b/>
      <w:bCs/>
      <w:sz w:val="24"/>
      <w:szCs w:val="24"/>
    </w:rPr>
  </w:style>
  <w:style w:type="paragraph" w:styleId="TOC2">
    <w:name w:val="toc 2"/>
    <w:basedOn w:val="Normal"/>
    <w:next w:val="Normal"/>
    <w:autoRedefine/>
    <w:uiPriority w:val="39"/>
    <w:rsid w:val="00665304"/>
    <w:pPr>
      <w:tabs>
        <w:tab w:val="left" w:pos="660"/>
        <w:tab w:val="right" w:pos="9016"/>
      </w:tabs>
      <w:spacing w:before="240" w:after="0"/>
      <w:ind w:left="660"/>
    </w:pPr>
    <w:rPr>
      <w:rFonts w:asciiTheme="minorHAnsi" w:hAnsiTheme="minorHAnsi" w:cstheme="minorHAnsi"/>
      <w:b/>
      <w:bCs/>
    </w:rPr>
  </w:style>
  <w:style w:type="paragraph" w:styleId="TOC3">
    <w:name w:val="toc 3"/>
    <w:basedOn w:val="Normal"/>
    <w:next w:val="Normal"/>
    <w:autoRedefine/>
    <w:uiPriority w:val="39"/>
    <w:rsid w:val="00A208F6"/>
    <w:pPr>
      <w:spacing w:after="0"/>
      <w:ind w:left="1440"/>
    </w:pPr>
    <w:rPr>
      <w:rFonts w:asciiTheme="minorHAnsi" w:hAnsiTheme="minorHAnsi" w:cstheme="minorHAnsi"/>
      <w:sz w:val="20"/>
    </w:rPr>
  </w:style>
  <w:style w:type="paragraph" w:styleId="TOC4">
    <w:name w:val="toc 4"/>
    <w:basedOn w:val="Normal"/>
    <w:next w:val="Normal"/>
    <w:autoRedefine/>
    <w:uiPriority w:val="39"/>
    <w:rsid w:val="00510D42"/>
    <w:pPr>
      <w:spacing w:after="0"/>
      <w:ind w:left="440"/>
    </w:pPr>
    <w:rPr>
      <w:rFonts w:asciiTheme="minorHAnsi" w:hAnsiTheme="minorHAnsi" w:cstheme="minorHAnsi"/>
      <w:sz w:val="20"/>
    </w:rPr>
  </w:style>
  <w:style w:type="character" w:styleId="Hyperlink">
    <w:name w:val="Hyperlink"/>
    <w:basedOn w:val="DefaultParagraphFont"/>
    <w:uiPriority w:val="99"/>
    <w:unhideWhenUsed/>
    <w:rsid w:val="00F6094A"/>
    <w:rPr>
      <w:color w:val="0000FF" w:themeColor="hyperlink"/>
      <w:u w:val="single"/>
    </w:rPr>
  </w:style>
  <w:style w:type="paragraph" w:styleId="FootnoteText">
    <w:name w:val="footnote text"/>
    <w:basedOn w:val="Normal"/>
    <w:link w:val="FootnoteTextChar"/>
    <w:uiPriority w:val="99"/>
    <w:unhideWhenUsed/>
    <w:rsid w:val="003300DE"/>
    <w:pPr>
      <w:spacing w:line="190" w:lineRule="atLeast"/>
    </w:pPr>
    <w:rPr>
      <w:position w:val="14"/>
    </w:rPr>
  </w:style>
  <w:style w:type="character" w:customStyle="1" w:styleId="FootnoteTextChar">
    <w:name w:val="Footnote Text Char"/>
    <w:basedOn w:val="DefaultParagraphFont"/>
    <w:link w:val="FootnoteText"/>
    <w:uiPriority w:val="99"/>
    <w:rsid w:val="003300DE"/>
    <w:rPr>
      <w:rFonts w:ascii="Helvetica Neue LT Std 65 Medium" w:hAnsi="Helvetica Neue LT Std 65 Medium"/>
      <w:color w:val="40403E"/>
      <w:position w:val="14"/>
      <w:sz w:val="22"/>
    </w:rPr>
  </w:style>
  <w:style w:type="character" w:styleId="FootnoteReference">
    <w:name w:val="footnote reference"/>
    <w:aliases w:val="IER footnote"/>
    <w:basedOn w:val="DefaultParagraphFont"/>
    <w:uiPriority w:val="99"/>
    <w:unhideWhenUsed/>
    <w:rsid w:val="003300DE"/>
    <w:rPr>
      <w:color w:val="auto"/>
      <w:position w:val="12"/>
      <w:sz w:val="16"/>
      <w:vertAlign w:val="baseline"/>
    </w:rPr>
  </w:style>
  <w:style w:type="character" w:customStyle="1" w:styleId="Heading4Char">
    <w:name w:val="Heading 4 Char"/>
    <w:basedOn w:val="DefaultParagraphFont"/>
    <w:link w:val="Heading4"/>
    <w:uiPriority w:val="9"/>
    <w:rsid w:val="00171DB7"/>
    <w:rPr>
      <w:rFonts w:asciiTheme="majorHAnsi" w:eastAsiaTheme="majorEastAsia" w:hAnsiTheme="majorHAnsi" w:cstheme="majorBidi"/>
      <w:bCs/>
      <w:iCs/>
      <w:color w:val="7F7F7F" w:themeColor="text1" w:themeTint="80"/>
      <w:sz w:val="24"/>
    </w:rPr>
  </w:style>
  <w:style w:type="paragraph" w:styleId="ListBullet2">
    <w:name w:val="List Bullet 2"/>
    <w:basedOn w:val="Normal"/>
    <w:uiPriority w:val="99"/>
    <w:qFormat/>
    <w:rsid w:val="00DD21CA"/>
    <w:pPr>
      <w:numPr>
        <w:numId w:val="2"/>
      </w:numPr>
      <w:tabs>
        <w:tab w:val="left" w:pos="714"/>
      </w:tabs>
    </w:pPr>
    <w:rPr>
      <w:rFonts w:ascii="Helvetica Neue" w:hAnsi="Helvetica Neue"/>
      <w:color w:val="404040" w:themeColor="text1" w:themeTint="BF"/>
    </w:rPr>
  </w:style>
  <w:style w:type="paragraph" w:customStyle="1" w:styleId="Contentstitle">
    <w:name w:val="Contents title"/>
    <w:basedOn w:val="Sectiontitle"/>
    <w:next w:val="Normal"/>
    <w:qFormat/>
    <w:rsid w:val="00E3268E"/>
    <w:rPr>
      <w:b w:val="0"/>
      <w:color w:val="40403E"/>
    </w:rPr>
  </w:style>
  <w:style w:type="paragraph" w:styleId="ListBullet3">
    <w:name w:val="List Bullet 3"/>
    <w:basedOn w:val="Normal"/>
    <w:uiPriority w:val="99"/>
    <w:semiHidden/>
    <w:unhideWhenUsed/>
    <w:rsid w:val="00D64D35"/>
    <w:pPr>
      <w:numPr>
        <w:numId w:val="5"/>
      </w:numPr>
      <w:ind w:left="924" w:hanging="357"/>
      <w:contextualSpacing/>
    </w:pPr>
  </w:style>
  <w:style w:type="paragraph" w:styleId="Caption">
    <w:name w:val="caption"/>
    <w:basedOn w:val="Disclaimer"/>
    <w:next w:val="Normal"/>
    <w:unhideWhenUsed/>
    <w:qFormat/>
    <w:rsid w:val="00F85F96"/>
    <w:rPr>
      <w:color w:val="A5A7A6"/>
      <w:sz w:val="20"/>
    </w:rPr>
  </w:style>
  <w:style w:type="character" w:styleId="CommentReference">
    <w:name w:val="annotation reference"/>
    <w:basedOn w:val="DefaultParagraphFont"/>
    <w:uiPriority w:val="99"/>
    <w:semiHidden/>
    <w:unhideWhenUsed/>
    <w:rsid w:val="00765741"/>
    <w:rPr>
      <w:sz w:val="16"/>
      <w:szCs w:val="16"/>
    </w:rPr>
  </w:style>
  <w:style w:type="paragraph" w:styleId="CommentText">
    <w:name w:val="annotation text"/>
    <w:basedOn w:val="Normal"/>
    <w:link w:val="CommentTextChar"/>
    <w:uiPriority w:val="99"/>
    <w:unhideWhenUsed/>
    <w:rsid w:val="00765741"/>
    <w:rPr>
      <w:sz w:val="20"/>
    </w:rPr>
  </w:style>
  <w:style w:type="character" w:customStyle="1" w:styleId="CommentTextChar">
    <w:name w:val="Comment Text Char"/>
    <w:basedOn w:val="DefaultParagraphFont"/>
    <w:link w:val="CommentText"/>
    <w:uiPriority w:val="99"/>
    <w:rsid w:val="00765741"/>
    <w:rPr>
      <w:rFonts w:asciiTheme="minorHAnsi" w:hAnsiTheme="minorHAnsi"/>
    </w:rPr>
  </w:style>
  <w:style w:type="paragraph" w:styleId="CommentSubject">
    <w:name w:val="annotation subject"/>
    <w:basedOn w:val="CommentText"/>
    <w:next w:val="CommentText"/>
    <w:link w:val="CommentSubjectChar"/>
    <w:uiPriority w:val="99"/>
    <w:semiHidden/>
    <w:unhideWhenUsed/>
    <w:rsid w:val="00765741"/>
    <w:rPr>
      <w:b/>
      <w:bCs/>
    </w:rPr>
  </w:style>
  <w:style w:type="character" w:customStyle="1" w:styleId="CommentSubjectChar">
    <w:name w:val="Comment Subject Char"/>
    <w:basedOn w:val="CommentTextChar"/>
    <w:link w:val="CommentSubject"/>
    <w:uiPriority w:val="99"/>
    <w:semiHidden/>
    <w:rsid w:val="00765741"/>
    <w:rPr>
      <w:rFonts w:asciiTheme="minorHAnsi" w:hAnsiTheme="minorHAnsi"/>
      <w:b/>
      <w:bCs/>
    </w:rPr>
  </w:style>
  <w:style w:type="character" w:styleId="SubtleEmphasis">
    <w:name w:val="Subtle Emphasis"/>
    <w:basedOn w:val="DefaultParagraphFont"/>
    <w:uiPriority w:val="19"/>
    <w:qFormat/>
    <w:rsid w:val="005A74CD"/>
    <w:rPr>
      <w:i/>
      <w:iCs/>
      <w:color w:val="404040" w:themeColor="text1" w:themeTint="BF"/>
    </w:rPr>
  </w:style>
  <w:style w:type="paragraph" w:styleId="NormalWeb">
    <w:name w:val="Normal (Web)"/>
    <w:basedOn w:val="Normal"/>
    <w:uiPriority w:val="99"/>
    <w:unhideWhenUsed/>
    <w:rsid w:val="00C25413"/>
    <w:pPr>
      <w:spacing w:before="100" w:beforeAutospacing="1" w:after="100" w:afterAutospacing="1"/>
    </w:pPr>
    <w:rPr>
      <w:rFonts w:ascii="Times New Roman" w:hAnsi="Times New Roman"/>
      <w:sz w:val="24"/>
      <w:szCs w:val="24"/>
      <w:lang w:eastAsia="en-GB"/>
    </w:rPr>
  </w:style>
  <w:style w:type="paragraph" w:styleId="Revision">
    <w:name w:val="Revision"/>
    <w:hidden/>
    <w:uiPriority w:val="99"/>
    <w:semiHidden/>
    <w:rsid w:val="00EA081A"/>
    <w:rPr>
      <w:rFonts w:asciiTheme="minorHAnsi" w:hAnsiTheme="minorHAnsi"/>
      <w:sz w:val="22"/>
    </w:rPr>
  </w:style>
  <w:style w:type="table" w:styleId="PlainTable4">
    <w:name w:val="Plain Table 4"/>
    <w:basedOn w:val="TableNormal"/>
    <w:uiPriority w:val="44"/>
    <w:rsid w:val="00D134FB"/>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EndnoteText">
    <w:name w:val="endnote text"/>
    <w:basedOn w:val="Normal"/>
    <w:link w:val="EndnoteTextChar"/>
    <w:uiPriority w:val="99"/>
    <w:semiHidden/>
    <w:unhideWhenUsed/>
    <w:rsid w:val="001016D3"/>
    <w:pPr>
      <w:spacing w:after="0"/>
    </w:pPr>
    <w:rPr>
      <w:sz w:val="20"/>
    </w:rPr>
  </w:style>
  <w:style w:type="character" w:customStyle="1" w:styleId="EndnoteTextChar">
    <w:name w:val="Endnote Text Char"/>
    <w:basedOn w:val="DefaultParagraphFont"/>
    <w:link w:val="EndnoteText"/>
    <w:uiPriority w:val="99"/>
    <w:semiHidden/>
    <w:rsid w:val="001016D3"/>
    <w:rPr>
      <w:rFonts w:asciiTheme="minorHAnsi" w:hAnsiTheme="minorHAnsi"/>
    </w:rPr>
  </w:style>
  <w:style w:type="character" w:styleId="EndnoteReference">
    <w:name w:val="endnote reference"/>
    <w:basedOn w:val="DefaultParagraphFont"/>
    <w:uiPriority w:val="99"/>
    <w:semiHidden/>
    <w:unhideWhenUsed/>
    <w:rsid w:val="001016D3"/>
    <w:rPr>
      <w:vertAlign w:val="superscript"/>
    </w:rPr>
  </w:style>
  <w:style w:type="character" w:customStyle="1" w:styleId="ListParagraphChar">
    <w:name w:val="List Paragraph Char"/>
    <w:aliases w:val="Dot pt Char,List Paragraph1 Char,Colorful List - Accent 11 Char,No Spacing1 Char,List Paragraph Char Char Char Char,Indicator Text Char,Numbered Para 1 Char,Bullet 1 Char,F5 List Paragraph Char,Bullet Points Char,List Paragraph2 Char"/>
    <w:basedOn w:val="DefaultParagraphFont"/>
    <w:link w:val="ListParagraph"/>
    <w:uiPriority w:val="34"/>
    <w:rsid w:val="004E2B0B"/>
    <w:rPr>
      <w:rFonts w:asciiTheme="minorHAnsi" w:hAnsiTheme="minorHAnsi"/>
      <w:sz w:val="22"/>
    </w:rPr>
  </w:style>
  <w:style w:type="paragraph" w:styleId="Title">
    <w:name w:val="Title"/>
    <w:basedOn w:val="Normal"/>
    <w:next w:val="Normal"/>
    <w:link w:val="TitleChar"/>
    <w:uiPriority w:val="10"/>
    <w:rsid w:val="005244CF"/>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244CF"/>
    <w:rPr>
      <w:rFonts w:asciiTheme="majorHAnsi" w:eastAsiaTheme="majorEastAsia" w:hAnsiTheme="majorHAnsi" w:cstheme="majorBidi"/>
      <w:spacing w:val="-10"/>
      <w:kern w:val="28"/>
      <w:sz w:val="56"/>
      <w:szCs w:val="56"/>
    </w:rPr>
  </w:style>
  <w:style w:type="character" w:styleId="Strong">
    <w:name w:val="Strong"/>
    <w:aliases w:val="Large block of text"/>
    <w:uiPriority w:val="22"/>
    <w:qFormat/>
    <w:rsid w:val="00CE7DA6"/>
    <w:rPr>
      <w:rFonts w:ascii="HelveticaNeueLT Std Lt" w:hAnsi="HelveticaNeueLT Std Lt" w:cstheme="minorHAnsi"/>
      <w:color w:val="404040" w:themeColor="text1" w:themeTint="BF"/>
      <w:szCs w:val="22"/>
    </w:rPr>
  </w:style>
  <w:style w:type="character" w:styleId="LineNumber">
    <w:name w:val="line number"/>
    <w:basedOn w:val="DefaultParagraphFont"/>
    <w:uiPriority w:val="99"/>
    <w:semiHidden/>
    <w:unhideWhenUsed/>
    <w:rsid w:val="005C1AB8"/>
  </w:style>
  <w:style w:type="paragraph" w:styleId="TOCHeading">
    <w:name w:val="TOC Heading"/>
    <w:basedOn w:val="Heading1"/>
    <w:next w:val="Normal"/>
    <w:uiPriority w:val="39"/>
    <w:unhideWhenUsed/>
    <w:qFormat/>
    <w:rsid w:val="005C1AB8"/>
    <w:pPr>
      <w:pageBreakBefore w:val="0"/>
      <w:tabs>
        <w:tab w:val="clear" w:pos="680"/>
      </w:tabs>
      <w:spacing w:before="240" w:line="259" w:lineRule="auto"/>
      <w:outlineLvl w:val="9"/>
    </w:pPr>
    <w:rPr>
      <w:rFonts w:asciiTheme="majorHAnsi" w:hAnsiTheme="majorHAnsi"/>
      <w:b/>
      <w:bCs/>
      <w:color w:val="006874" w:themeColor="accent1" w:themeShade="BF"/>
      <w:sz w:val="32"/>
      <w:szCs w:val="32"/>
      <w:lang w:val="en-US" w:eastAsia="en-US"/>
    </w:rPr>
  </w:style>
  <w:style w:type="character" w:customStyle="1" w:styleId="UnresolvedMention1">
    <w:name w:val="Unresolved Mention1"/>
    <w:basedOn w:val="DefaultParagraphFont"/>
    <w:uiPriority w:val="99"/>
    <w:semiHidden/>
    <w:unhideWhenUsed/>
    <w:rsid w:val="00654E29"/>
    <w:rPr>
      <w:color w:val="605E5C"/>
      <w:shd w:val="clear" w:color="auto" w:fill="E1DFDD"/>
    </w:rPr>
  </w:style>
  <w:style w:type="character" w:styleId="FollowedHyperlink">
    <w:name w:val="FollowedHyperlink"/>
    <w:basedOn w:val="DefaultParagraphFont"/>
    <w:uiPriority w:val="99"/>
    <w:semiHidden/>
    <w:unhideWhenUsed/>
    <w:rsid w:val="00654E29"/>
    <w:rPr>
      <w:color w:val="800080" w:themeColor="followedHyperlink"/>
      <w:u w:val="single"/>
    </w:rPr>
  </w:style>
  <w:style w:type="character" w:styleId="SubtleReference">
    <w:name w:val="Subtle Reference"/>
    <w:aliases w:val="Source"/>
    <w:uiPriority w:val="31"/>
    <w:qFormat/>
    <w:rsid w:val="00394BEB"/>
    <w:rPr>
      <w:rFonts w:ascii="HelveticaNeueLT Std" w:hAnsi="HelveticaNeueLT Std"/>
      <w:i/>
      <w:iCs/>
      <w:color w:val="A6A6A6" w:themeColor="background1" w:themeShade="A6"/>
      <w:sz w:val="16"/>
      <w:szCs w:val="16"/>
    </w:rPr>
  </w:style>
  <w:style w:type="character" w:styleId="Emphasis">
    <w:name w:val="Emphasis"/>
    <w:uiPriority w:val="20"/>
    <w:rsid w:val="00CE7DA6"/>
    <w:rPr>
      <w:rFonts w:ascii="HelveticaNeueLT Std Lt" w:hAnsi="HelveticaNeueLT Std Lt"/>
      <w:i/>
      <w:iCs/>
      <w:color w:val="008C9B" w:themeColor="text2"/>
      <w:sz w:val="32"/>
      <w:szCs w:val="32"/>
    </w:rPr>
  </w:style>
  <w:style w:type="character" w:styleId="IntenseEmphasis">
    <w:name w:val="Intense Emphasis"/>
    <w:basedOn w:val="Emphasis"/>
    <w:uiPriority w:val="21"/>
    <w:qFormat/>
    <w:rsid w:val="002C436D"/>
    <w:rPr>
      <w:rFonts w:ascii="HelveticaNeueLT Std Lt" w:hAnsi="HelveticaNeueLT Std Lt"/>
      <w:i/>
      <w:iCs/>
      <w:color w:val="008C9B" w:themeColor="text2"/>
      <w:sz w:val="32"/>
      <w:szCs w:val="32"/>
    </w:rPr>
  </w:style>
  <w:style w:type="character" w:customStyle="1" w:styleId="s1">
    <w:name w:val="s1"/>
    <w:basedOn w:val="DefaultParagraphFont"/>
    <w:rsid w:val="00827330"/>
  </w:style>
  <w:style w:type="paragraph" w:styleId="TOC5">
    <w:name w:val="toc 5"/>
    <w:basedOn w:val="Normal"/>
    <w:next w:val="Normal"/>
    <w:autoRedefine/>
    <w:uiPriority w:val="39"/>
    <w:unhideWhenUsed/>
    <w:rsid w:val="00665304"/>
    <w:pPr>
      <w:spacing w:after="0"/>
      <w:ind w:left="660"/>
    </w:pPr>
    <w:rPr>
      <w:rFonts w:asciiTheme="minorHAnsi" w:hAnsiTheme="minorHAnsi" w:cstheme="minorHAnsi"/>
      <w:sz w:val="20"/>
    </w:rPr>
  </w:style>
  <w:style w:type="paragraph" w:styleId="TOC6">
    <w:name w:val="toc 6"/>
    <w:basedOn w:val="Normal"/>
    <w:next w:val="Normal"/>
    <w:autoRedefine/>
    <w:uiPriority w:val="39"/>
    <w:unhideWhenUsed/>
    <w:rsid w:val="00665304"/>
    <w:pPr>
      <w:spacing w:after="0"/>
      <w:ind w:left="880"/>
    </w:pPr>
    <w:rPr>
      <w:rFonts w:asciiTheme="minorHAnsi" w:hAnsiTheme="minorHAnsi" w:cstheme="minorHAnsi"/>
      <w:sz w:val="20"/>
    </w:rPr>
  </w:style>
  <w:style w:type="paragraph" w:styleId="TOC7">
    <w:name w:val="toc 7"/>
    <w:basedOn w:val="Normal"/>
    <w:next w:val="Normal"/>
    <w:autoRedefine/>
    <w:uiPriority w:val="39"/>
    <w:unhideWhenUsed/>
    <w:rsid w:val="00665304"/>
    <w:pPr>
      <w:spacing w:after="0"/>
      <w:ind w:left="1100"/>
    </w:pPr>
    <w:rPr>
      <w:rFonts w:asciiTheme="minorHAnsi" w:hAnsiTheme="minorHAnsi" w:cstheme="minorHAnsi"/>
      <w:sz w:val="20"/>
    </w:rPr>
  </w:style>
  <w:style w:type="paragraph" w:styleId="TOC8">
    <w:name w:val="toc 8"/>
    <w:basedOn w:val="Normal"/>
    <w:next w:val="Normal"/>
    <w:autoRedefine/>
    <w:uiPriority w:val="39"/>
    <w:unhideWhenUsed/>
    <w:rsid w:val="00665304"/>
    <w:pPr>
      <w:spacing w:after="0"/>
      <w:ind w:left="1320"/>
    </w:pPr>
    <w:rPr>
      <w:rFonts w:asciiTheme="minorHAnsi" w:hAnsiTheme="minorHAnsi" w:cstheme="minorHAnsi"/>
      <w:sz w:val="20"/>
    </w:rPr>
  </w:style>
  <w:style w:type="paragraph" w:styleId="TOC9">
    <w:name w:val="toc 9"/>
    <w:basedOn w:val="Normal"/>
    <w:next w:val="Normal"/>
    <w:autoRedefine/>
    <w:uiPriority w:val="39"/>
    <w:unhideWhenUsed/>
    <w:rsid w:val="00665304"/>
    <w:pPr>
      <w:spacing w:after="0"/>
      <w:ind w:left="1540"/>
    </w:pPr>
    <w:rPr>
      <w:rFonts w:asciiTheme="minorHAnsi" w:hAnsiTheme="minorHAnsi" w:cstheme="minorHAnsi"/>
      <w:sz w:val="20"/>
    </w:rPr>
  </w:style>
  <w:style w:type="character" w:styleId="UnresolvedMention">
    <w:name w:val="Unresolved Mention"/>
    <w:basedOn w:val="DefaultParagraphFont"/>
    <w:uiPriority w:val="99"/>
    <w:semiHidden/>
    <w:unhideWhenUsed/>
    <w:rsid w:val="00F4510C"/>
    <w:rPr>
      <w:color w:val="605E5C"/>
      <w:shd w:val="clear" w:color="auto" w:fill="E1DFDD"/>
    </w:rPr>
  </w:style>
  <w:style w:type="character" w:customStyle="1" w:styleId="highlight">
    <w:name w:val="highlight"/>
    <w:basedOn w:val="DefaultParagraphFont"/>
    <w:rsid w:val="002E1648"/>
  </w:style>
  <w:style w:type="character" w:customStyle="1" w:styleId="cf01">
    <w:name w:val="cf01"/>
    <w:basedOn w:val="DefaultParagraphFont"/>
    <w:rsid w:val="008A5040"/>
    <w:rPr>
      <w:rFonts w:ascii="Segoe UI" w:hAnsi="Segoe UI" w:cs="Segoe UI" w:hint="default"/>
      <w:sz w:val="18"/>
      <w:szCs w:val="18"/>
    </w:rPr>
  </w:style>
  <w:style w:type="paragraph" w:customStyle="1" w:styleId="Default">
    <w:name w:val="Default"/>
    <w:rsid w:val="00E45BF6"/>
    <w:pPr>
      <w:autoSpaceDE w:val="0"/>
      <w:autoSpaceDN w:val="0"/>
      <w:adjustRightInd w:val="0"/>
    </w:pPr>
    <w:rPr>
      <w:rFonts w:ascii="Arla InterFace Light" w:eastAsia="Calibri" w:hAnsi="Arla InterFace Light" w:cs="Arla InterFace Light"/>
      <w:color w:val="000000"/>
      <w:sz w:val="24"/>
      <w:szCs w:val="24"/>
      <w:lang w:eastAsia="en-US"/>
    </w:rPr>
  </w:style>
  <w:style w:type="character" w:customStyle="1" w:styleId="apple-converted-space">
    <w:name w:val="apple-converted-space"/>
    <w:rsid w:val="00E45B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5382">
      <w:bodyDiv w:val="1"/>
      <w:marLeft w:val="0"/>
      <w:marRight w:val="0"/>
      <w:marTop w:val="0"/>
      <w:marBottom w:val="0"/>
      <w:divBdr>
        <w:top w:val="none" w:sz="0" w:space="0" w:color="auto"/>
        <w:left w:val="none" w:sz="0" w:space="0" w:color="auto"/>
        <w:bottom w:val="none" w:sz="0" w:space="0" w:color="auto"/>
        <w:right w:val="none" w:sz="0" w:space="0" w:color="auto"/>
      </w:divBdr>
    </w:div>
    <w:div w:id="18165893">
      <w:bodyDiv w:val="1"/>
      <w:marLeft w:val="0"/>
      <w:marRight w:val="0"/>
      <w:marTop w:val="0"/>
      <w:marBottom w:val="0"/>
      <w:divBdr>
        <w:top w:val="none" w:sz="0" w:space="0" w:color="auto"/>
        <w:left w:val="none" w:sz="0" w:space="0" w:color="auto"/>
        <w:bottom w:val="none" w:sz="0" w:space="0" w:color="auto"/>
        <w:right w:val="none" w:sz="0" w:space="0" w:color="auto"/>
      </w:divBdr>
    </w:div>
    <w:div w:id="25059362">
      <w:bodyDiv w:val="1"/>
      <w:marLeft w:val="0"/>
      <w:marRight w:val="0"/>
      <w:marTop w:val="0"/>
      <w:marBottom w:val="0"/>
      <w:divBdr>
        <w:top w:val="none" w:sz="0" w:space="0" w:color="auto"/>
        <w:left w:val="none" w:sz="0" w:space="0" w:color="auto"/>
        <w:bottom w:val="none" w:sz="0" w:space="0" w:color="auto"/>
        <w:right w:val="none" w:sz="0" w:space="0" w:color="auto"/>
      </w:divBdr>
    </w:div>
    <w:div w:id="29651165">
      <w:bodyDiv w:val="1"/>
      <w:marLeft w:val="0"/>
      <w:marRight w:val="0"/>
      <w:marTop w:val="0"/>
      <w:marBottom w:val="0"/>
      <w:divBdr>
        <w:top w:val="none" w:sz="0" w:space="0" w:color="auto"/>
        <w:left w:val="none" w:sz="0" w:space="0" w:color="auto"/>
        <w:bottom w:val="none" w:sz="0" w:space="0" w:color="auto"/>
        <w:right w:val="none" w:sz="0" w:space="0" w:color="auto"/>
      </w:divBdr>
    </w:div>
    <w:div w:id="53939999">
      <w:bodyDiv w:val="1"/>
      <w:marLeft w:val="0"/>
      <w:marRight w:val="0"/>
      <w:marTop w:val="0"/>
      <w:marBottom w:val="0"/>
      <w:divBdr>
        <w:top w:val="none" w:sz="0" w:space="0" w:color="auto"/>
        <w:left w:val="none" w:sz="0" w:space="0" w:color="auto"/>
        <w:bottom w:val="none" w:sz="0" w:space="0" w:color="auto"/>
        <w:right w:val="none" w:sz="0" w:space="0" w:color="auto"/>
      </w:divBdr>
    </w:div>
    <w:div w:id="92434788">
      <w:bodyDiv w:val="1"/>
      <w:marLeft w:val="0"/>
      <w:marRight w:val="0"/>
      <w:marTop w:val="0"/>
      <w:marBottom w:val="0"/>
      <w:divBdr>
        <w:top w:val="none" w:sz="0" w:space="0" w:color="auto"/>
        <w:left w:val="none" w:sz="0" w:space="0" w:color="auto"/>
        <w:bottom w:val="none" w:sz="0" w:space="0" w:color="auto"/>
        <w:right w:val="none" w:sz="0" w:space="0" w:color="auto"/>
      </w:divBdr>
    </w:div>
    <w:div w:id="92551840">
      <w:bodyDiv w:val="1"/>
      <w:marLeft w:val="0"/>
      <w:marRight w:val="0"/>
      <w:marTop w:val="0"/>
      <w:marBottom w:val="0"/>
      <w:divBdr>
        <w:top w:val="none" w:sz="0" w:space="0" w:color="auto"/>
        <w:left w:val="none" w:sz="0" w:space="0" w:color="auto"/>
        <w:bottom w:val="none" w:sz="0" w:space="0" w:color="auto"/>
        <w:right w:val="none" w:sz="0" w:space="0" w:color="auto"/>
      </w:divBdr>
    </w:div>
    <w:div w:id="125395714">
      <w:bodyDiv w:val="1"/>
      <w:marLeft w:val="0"/>
      <w:marRight w:val="0"/>
      <w:marTop w:val="0"/>
      <w:marBottom w:val="0"/>
      <w:divBdr>
        <w:top w:val="none" w:sz="0" w:space="0" w:color="auto"/>
        <w:left w:val="none" w:sz="0" w:space="0" w:color="auto"/>
        <w:bottom w:val="none" w:sz="0" w:space="0" w:color="auto"/>
        <w:right w:val="none" w:sz="0" w:space="0" w:color="auto"/>
      </w:divBdr>
    </w:div>
    <w:div w:id="129832934">
      <w:bodyDiv w:val="1"/>
      <w:marLeft w:val="0"/>
      <w:marRight w:val="0"/>
      <w:marTop w:val="0"/>
      <w:marBottom w:val="0"/>
      <w:divBdr>
        <w:top w:val="none" w:sz="0" w:space="0" w:color="auto"/>
        <w:left w:val="none" w:sz="0" w:space="0" w:color="auto"/>
        <w:bottom w:val="none" w:sz="0" w:space="0" w:color="auto"/>
        <w:right w:val="none" w:sz="0" w:space="0" w:color="auto"/>
      </w:divBdr>
    </w:div>
    <w:div w:id="130368049">
      <w:bodyDiv w:val="1"/>
      <w:marLeft w:val="0"/>
      <w:marRight w:val="0"/>
      <w:marTop w:val="0"/>
      <w:marBottom w:val="0"/>
      <w:divBdr>
        <w:top w:val="none" w:sz="0" w:space="0" w:color="auto"/>
        <w:left w:val="none" w:sz="0" w:space="0" w:color="auto"/>
        <w:bottom w:val="none" w:sz="0" w:space="0" w:color="auto"/>
        <w:right w:val="none" w:sz="0" w:space="0" w:color="auto"/>
      </w:divBdr>
    </w:div>
    <w:div w:id="132067670">
      <w:bodyDiv w:val="1"/>
      <w:marLeft w:val="0"/>
      <w:marRight w:val="0"/>
      <w:marTop w:val="0"/>
      <w:marBottom w:val="0"/>
      <w:divBdr>
        <w:top w:val="none" w:sz="0" w:space="0" w:color="auto"/>
        <w:left w:val="none" w:sz="0" w:space="0" w:color="auto"/>
        <w:bottom w:val="none" w:sz="0" w:space="0" w:color="auto"/>
        <w:right w:val="none" w:sz="0" w:space="0" w:color="auto"/>
      </w:divBdr>
    </w:div>
    <w:div w:id="135033257">
      <w:bodyDiv w:val="1"/>
      <w:marLeft w:val="0"/>
      <w:marRight w:val="0"/>
      <w:marTop w:val="0"/>
      <w:marBottom w:val="0"/>
      <w:divBdr>
        <w:top w:val="none" w:sz="0" w:space="0" w:color="auto"/>
        <w:left w:val="none" w:sz="0" w:space="0" w:color="auto"/>
        <w:bottom w:val="none" w:sz="0" w:space="0" w:color="auto"/>
        <w:right w:val="none" w:sz="0" w:space="0" w:color="auto"/>
      </w:divBdr>
    </w:div>
    <w:div w:id="140852875">
      <w:bodyDiv w:val="1"/>
      <w:marLeft w:val="0"/>
      <w:marRight w:val="0"/>
      <w:marTop w:val="0"/>
      <w:marBottom w:val="0"/>
      <w:divBdr>
        <w:top w:val="none" w:sz="0" w:space="0" w:color="auto"/>
        <w:left w:val="none" w:sz="0" w:space="0" w:color="auto"/>
        <w:bottom w:val="none" w:sz="0" w:space="0" w:color="auto"/>
        <w:right w:val="none" w:sz="0" w:space="0" w:color="auto"/>
      </w:divBdr>
    </w:div>
    <w:div w:id="160855708">
      <w:bodyDiv w:val="1"/>
      <w:marLeft w:val="0"/>
      <w:marRight w:val="0"/>
      <w:marTop w:val="0"/>
      <w:marBottom w:val="0"/>
      <w:divBdr>
        <w:top w:val="none" w:sz="0" w:space="0" w:color="auto"/>
        <w:left w:val="none" w:sz="0" w:space="0" w:color="auto"/>
        <w:bottom w:val="none" w:sz="0" w:space="0" w:color="auto"/>
        <w:right w:val="none" w:sz="0" w:space="0" w:color="auto"/>
      </w:divBdr>
    </w:div>
    <w:div w:id="171846492">
      <w:bodyDiv w:val="1"/>
      <w:marLeft w:val="0"/>
      <w:marRight w:val="0"/>
      <w:marTop w:val="0"/>
      <w:marBottom w:val="0"/>
      <w:divBdr>
        <w:top w:val="none" w:sz="0" w:space="0" w:color="auto"/>
        <w:left w:val="none" w:sz="0" w:space="0" w:color="auto"/>
        <w:bottom w:val="none" w:sz="0" w:space="0" w:color="auto"/>
        <w:right w:val="none" w:sz="0" w:space="0" w:color="auto"/>
      </w:divBdr>
    </w:div>
    <w:div w:id="175537689">
      <w:bodyDiv w:val="1"/>
      <w:marLeft w:val="0"/>
      <w:marRight w:val="0"/>
      <w:marTop w:val="0"/>
      <w:marBottom w:val="0"/>
      <w:divBdr>
        <w:top w:val="none" w:sz="0" w:space="0" w:color="auto"/>
        <w:left w:val="none" w:sz="0" w:space="0" w:color="auto"/>
        <w:bottom w:val="none" w:sz="0" w:space="0" w:color="auto"/>
        <w:right w:val="none" w:sz="0" w:space="0" w:color="auto"/>
      </w:divBdr>
    </w:div>
    <w:div w:id="179856638">
      <w:bodyDiv w:val="1"/>
      <w:marLeft w:val="0"/>
      <w:marRight w:val="0"/>
      <w:marTop w:val="0"/>
      <w:marBottom w:val="0"/>
      <w:divBdr>
        <w:top w:val="none" w:sz="0" w:space="0" w:color="auto"/>
        <w:left w:val="none" w:sz="0" w:space="0" w:color="auto"/>
        <w:bottom w:val="none" w:sz="0" w:space="0" w:color="auto"/>
        <w:right w:val="none" w:sz="0" w:space="0" w:color="auto"/>
      </w:divBdr>
    </w:div>
    <w:div w:id="193276544">
      <w:bodyDiv w:val="1"/>
      <w:marLeft w:val="0"/>
      <w:marRight w:val="0"/>
      <w:marTop w:val="0"/>
      <w:marBottom w:val="0"/>
      <w:divBdr>
        <w:top w:val="none" w:sz="0" w:space="0" w:color="auto"/>
        <w:left w:val="none" w:sz="0" w:space="0" w:color="auto"/>
        <w:bottom w:val="none" w:sz="0" w:space="0" w:color="auto"/>
        <w:right w:val="none" w:sz="0" w:space="0" w:color="auto"/>
      </w:divBdr>
    </w:div>
    <w:div w:id="235552129">
      <w:bodyDiv w:val="1"/>
      <w:marLeft w:val="0"/>
      <w:marRight w:val="0"/>
      <w:marTop w:val="0"/>
      <w:marBottom w:val="0"/>
      <w:divBdr>
        <w:top w:val="none" w:sz="0" w:space="0" w:color="auto"/>
        <w:left w:val="none" w:sz="0" w:space="0" w:color="auto"/>
        <w:bottom w:val="none" w:sz="0" w:space="0" w:color="auto"/>
        <w:right w:val="none" w:sz="0" w:space="0" w:color="auto"/>
      </w:divBdr>
    </w:div>
    <w:div w:id="263197198">
      <w:bodyDiv w:val="1"/>
      <w:marLeft w:val="0"/>
      <w:marRight w:val="0"/>
      <w:marTop w:val="0"/>
      <w:marBottom w:val="0"/>
      <w:divBdr>
        <w:top w:val="none" w:sz="0" w:space="0" w:color="auto"/>
        <w:left w:val="none" w:sz="0" w:space="0" w:color="auto"/>
        <w:bottom w:val="none" w:sz="0" w:space="0" w:color="auto"/>
        <w:right w:val="none" w:sz="0" w:space="0" w:color="auto"/>
      </w:divBdr>
    </w:div>
    <w:div w:id="292709042">
      <w:bodyDiv w:val="1"/>
      <w:marLeft w:val="0"/>
      <w:marRight w:val="0"/>
      <w:marTop w:val="0"/>
      <w:marBottom w:val="0"/>
      <w:divBdr>
        <w:top w:val="none" w:sz="0" w:space="0" w:color="auto"/>
        <w:left w:val="none" w:sz="0" w:space="0" w:color="auto"/>
        <w:bottom w:val="none" w:sz="0" w:space="0" w:color="auto"/>
        <w:right w:val="none" w:sz="0" w:space="0" w:color="auto"/>
      </w:divBdr>
    </w:div>
    <w:div w:id="298540704">
      <w:bodyDiv w:val="1"/>
      <w:marLeft w:val="0"/>
      <w:marRight w:val="0"/>
      <w:marTop w:val="0"/>
      <w:marBottom w:val="0"/>
      <w:divBdr>
        <w:top w:val="none" w:sz="0" w:space="0" w:color="auto"/>
        <w:left w:val="none" w:sz="0" w:space="0" w:color="auto"/>
        <w:bottom w:val="none" w:sz="0" w:space="0" w:color="auto"/>
        <w:right w:val="none" w:sz="0" w:space="0" w:color="auto"/>
      </w:divBdr>
    </w:div>
    <w:div w:id="324404217">
      <w:bodyDiv w:val="1"/>
      <w:marLeft w:val="0"/>
      <w:marRight w:val="0"/>
      <w:marTop w:val="0"/>
      <w:marBottom w:val="0"/>
      <w:divBdr>
        <w:top w:val="none" w:sz="0" w:space="0" w:color="auto"/>
        <w:left w:val="none" w:sz="0" w:space="0" w:color="auto"/>
        <w:bottom w:val="none" w:sz="0" w:space="0" w:color="auto"/>
        <w:right w:val="none" w:sz="0" w:space="0" w:color="auto"/>
      </w:divBdr>
    </w:div>
    <w:div w:id="326977164">
      <w:bodyDiv w:val="1"/>
      <w:marLeft w:val="0"/>
      <w:marRight w:val="0"/>
      <w:marTop w:val="0"/>
      <w:marBottom w:val="0"/>
      <w:divBdr>
        <w:top w:val="none" w:sz="0" w:space="0" w:color="auto"/>
        <w:left w:val="none" w:sz="0" w:space="0" w:color="auto"/>
        <w:bottom w:val="none" w:sz="0" w:space="0" w:color="auto"/>
        <w:right w:val="none" w:sz="0" w:space="0" w:color="auto"/>
      </w:divBdr>
    </w:div>
    <w:div w:id="328564487">
      <w:bodyDiv w:val="1"/>
      <w:marLeft w:val="0"/>
      <w:marRight w:val="0"/>
      <w:marTop w:val="0"/>
      <w:marBottom w:val="0"/>
      <w:divBdr>
        <w:top w:val="none" w:sz="0" w:space="0" w:color="auto"/>
        <w:left w:val="none" w:sz="0" w:space="0" w:color="auto"/>
        <w:bottom w:val="none" w:sz="0" w:space="0" w:color="auto"/>
        <w:right w:val="none" w:sz="0" w:space="0" w:color="auto"/>
      </w:divBdr>
    </w:div>
    <w:div w:id="330564463">
      <w:bodyDiv w:val="1"/>
      <w:marLeft w:val="0"/>
      <w:marRight w:val="0"/>
      <w:marTop w:val="0"/>
      <w:marBottom w:val="0"/>
      <w:divBdr>
        <w:top w:val="none" w:sz="0" w:space="0" w:color="auto"/>
        <w:left w:val="none" w:sz="0" w:space="0" w:color="auto"/>
        <w:bottom w:val="none" w:sz="0" w:space="0" w:color="auto"/>
        <w:right w:val="none" w:sz="0" w:space="0" w:color="auto"/>
      </w:divBdr>
    </w:div>
    <w:div w:id="352725988">
      <w:bodyDiv w:val="1"/>
      <w:marLeft w:val="0"/>
      <w:marRight w:val="0"/>
      <w:marTop w:val="0"/>
      <w:marBottom w:val="0"/>
      <w:divBdr>
        <w:top w:val="none" w:sz="0" w:space="0" w:color="auto"/>
        <w:left w:val="none" w:sz="0" w:space="0" w:color="auto"/>
        <w:bottom w:val="none" w:sz="0" w:space="0" w:color="auto"/>
        <w:right w:val="none" w:sz="0" w:space="0" w:color="auto"/>
      </w:divBdr>
    </w:div>
    <w:div w:id="376508327">
      <w:bodyDiv w:val="1"/>
      <w:marLeft w:val="0"/>
      <w:marRight w:val="0"/>
      <w:marTop w:val="0"/>
      <w:marBottom w:val="0"/>
      <w:divBdr>
        <w:top w:val="none" w:sz="0" w:space="0" w:color="auto"/>
        <w:left w:val="none" w:sz="0" w:space="0" w:color="auto"/>
        <w:bottom w:val="none" w:sz="0" w:space="0" w:color="auto"/>
        <w:right w:val="none" w:sz="0" w:space="0" w:color="auto"/>
      </w:divBdr>
    </w:div>
    <w:div w:id="377973878">
      <w:bodyDiv w:val="1"/>
      <w:marLeft w:val="0"/>
      <w:marRight w:val="0"/>
      <w:marTop w:val="0"/>
      <w:marBottom w:val="0"/>
      <w:divBdr>
        <w:top w:val="none" w:sz="0" w:space="0" w:color="auto"/>
        <w:left w:val="none" w:sz="0" w:space="0" w:color="auto"/>
        <w:bottom w:val="none" w:sz="0" w:space="0" w:color="auto"/>
        <w:right w:val="none" w:sz="0" w:space="0" w:color="auto"/>
      </w:divBdr>
    </w:div>
    <w:div w:id="383529130">
      <w:bodyDiv w:val="1"/>
      <w:marLeft w:val="0"/>
      <w:marRight w:val="0"/>
      <w:marTop w:val="0"/>
      <w:marBottom w:val="0"/>
      <w:divBdr>
        <w:top w:val="none" w:sz="0" w:space="0" w:color="auto"/>
        <w:left w:val="none" w:sz="0" w:space="0" w:color="auto"/>
        <w:bottom w:val="none" w:sz="0" w:space="0" w:color="auto"/>
        <w:right w:val="none" w:sz="0" w:space="0" w:color="auto"/>
      </w:divBdr>
    </w:div>
    <w:div w:id="384838582">
      <w:bodyDiv w:val="1"/>
      <w:marLeft w:val="0"/>
      <w:marRight w:val="0"/>
      <w:marTop w:val="0"/>
      <w:marBottom w:val="0"/>
      <w:divBdr>
        <w:top w:val="none" w:sz="0" w:space="0" w:color="auto"/>
        <w:left w:val="none" w:sz="0" w:space="0" w:color="auto"/>
        <w:bottom w:val="none" w:sz="0" w:space="0" w:color="auto"/>
        <w:right w:val="none" w:sz="0" w:space="0" w:color="auto"/>
      </w:divBdr>
    </w:div>
    <w:div w:id="394157838">
      <w:bodyDiv w:val="1"/>
      <w:marLeft w:val="0"/>
      <w:marRight w:val="0"/>
      <w:marTop w:val="0"/>
      <w:marBottom w:val="0"/>
      <w:divBdr>
        <w:top w:val="none" w:sz="0" w:space="0" w:color="auto"/>
        <w:left w:val="none" w:sz="0" w:space="0" w:color="auto"/>
        <w:bottom w:val="none" w:sz="0" w:space="0" w:color="auto"/>
        <w:right w:val="none" w:sz="0" w:space="0" w:color="auto"/>
      </w:divBdr>
    </w:div>
    <w:div w:id="400831782">
      <w:bodyDiv w:val="1"/>
      <w:marLeft w:val="0"/>
      <w:marRight w:val="0"/>
      <w:marTop w:val="0"/>
      <w:marBottom w:val="0"/>
      <w:divBdr>
        <w:top w:val="none" w:sz="0" w:space="0" w:color="auto"/>
        <w:left w:val="none" w:sz="0" w:space="0" w:color="auto"/>
        <w:bottom w:val="none" w:sz="0" w:space="0" w:color="auto"/>
        <w:right w:val="none" w:sz="0" w:space="0" w:color="auto"/>
      </w:divBdr>
    </w:div>
    <w:div w:id="404379656">
      <w:bodyDiv w:val="1"/>
      <w:marLeft w:val="0"/>
      <w:marRight w:val="0"/>
      <w:marTop w:val="0"/>
      <w:marBottom w:val="0"/>
      <w:divBdr>
        <w:top w:val="none" w:sz="0" w:space="0" w:color="auto"/>
        <w:left w:val="none" w:sz="0" w:space="0" w:color="auto"/>
        <w:bottom w:val="none" w:sz="0" w:space="0" w:color="auto"/>
        <w:right w:val="none" w:sz="0" w:space="0" w:color="auto"/>
      </w:divBdr>
    </w:div>
    <w:div w:id="443500343">
      <w:bodyDiv w:val="1"/>
      <w:marLeft w:val="0"/>
      <w:marRight w:val="0"/>
      <w:marTop w:val="0"/>
      <w:marBottom w:val="0"/>
      <w:divBdr>
        <w:top w:val="none" w:sz="0" w:space="0" w:color="auto"/>
        <w:left w:val="none" w:sz="0" w:space="0" w:color="auto"/>
        <w:bottom w:val="none" w:sz="0" w:space="0" w:color="auto"/>
        <w:right w:val="none" w:sz="0" w:space="0" w:color="auto"/>
      </w:divBdr>
    </w:div>
    <w:div w:id="447165905">
      <w:bodyDiv w:val="1"/>
      <w:marLeft w:val="0"/>
      <w:marRight w:val="0"/>
      <w:marTop w:val="0"/>
      <w:marBottom w:val="0"/>
      <w:divBdr>
        <w:top w:val="none" w:sz="0" w:space="0" w:color="auto"/>
        <w:left w:val="none" w:sz="0" w:space="0" w:color="auto"/>
        <w:bottom w:val="none" w:sz="0" w:space="0" w:color="auto"/>
        <w:right w:val="none" w:sz="0" w:space="0" w:color="auto"/>
      </w:divBdr>
    </w:div>
    <w:div w:id="458498985">
      <w:bodyDiv w:val="1"/>
      <w:marLeft w:val="0"/>
      <w:marRight w:val="0"/>
      <w:marTop w:val="0"/>
      <w:marBottom w:val="0"/>
      <w:divBdr>
        <w:top w:val="none" w:sz="0" w:space="0" w:color="auto"/>
        <w:left w:val="none" w:sz="0" w:space="0" w:color="auto"/>
        <w:bottom w:val="none" w:sz="0" w:space="0" w:color="auto"/>
        <w:right w:val="none" w:sz="0" w:space="0" w:color="auto"/>
      </w:divBdr>
    </w:div>
    <w:div w:id="473301767">
      <w:bodyDiv w:val="1"/>
      <w:marLeft w:val="0"/>
      <w:marRight w:val="0"/>
      <w:marTop w:val="0"/>
      <w:marBottom w:val="0"/>
      <w:divBdr>
        <w:top w:val="none" w:sz="0" w:space="0" w:color="auto"/>
        <w:left w:val="none" w:sz="0" w:space="0" w:color="auto"/>
        <w:bottom w:val="none" w:sz="0" w:space="0" w:color="auto"/>
        <w:right w:val="none" w:sz="0" w:space="0" w:color="auto"/>
      </w:divBdr>
    </w:div>
    <w:div w:id="486558480">
      <w:bodyDiv w:val="1"/>
      <w:marLeft w:val="0"/>
      <w:marRight w:val="0"/>
      <w:marTop w:val="0"/>
      <w:marBottom w:val="0"/>
      <w:divBdr>
        <w:top w:val="none" w:sz="0" w:space="0" w:color="auto"/>
        <w:left w:val="none" w:sz="0" w:space="0" w:color="auto"/>
        <w:bottom w:val="none" w:sz="0" w:space="0" w:color="auto"/>
        <w:right w:val="none" w:sz="0" w:space="0" w:color="auto"/>
      </w:divBdr>
    </w:div>
    <w:div w:id="496725764">
      <w:bodyDiv w:val="1"/>
      <w:marLeft w:val="0"/>
      <w:marRight w:val="0"/>
      <w:marTop w:val="0"/>
      <w:marBottom w:val="0"/>
      <w:divBdr>
        <w:top w:val="none" w:sz="0" w:space="0" w:color="auto"/>
        <w:left w:val="none" w:sz="0" w:space="0" w:color="auto"/>
        <w:bottom w:val="none" w:sz="0" w:space="0" w:color="auto"/>
        <w:right w:val="none" w:sz="0" w:space="0" w:color="auto"/>
      </w:divBdr>
    </w:div>
    <w:div w:id="530415278">
      <w:bodyDiv w:val="1"/>
      <w:marLeft w:val="0"/>
      <w:marRight w:val="0"/>
      <w:marTop w:val="0"/>
      <w:marBottom w:val="0"/>
      <w:divBdr>
        <w:top w:val="none" w:sz="0" w:space="0" w:color="auto"/>
        <w:left w:val="none" w:sz="0" w:space="0" w:color="auto"/>
        <w:bottom w:val="none" w:sz="0" w:space="0" w:color="auto"/>
        <w:right w:val="none" w:sz="0" w:space="0" w:color="auto"/>
      </w:divBdr>
    </w:div>
    <w:div w:id="533008705">
      <w:bodyDiv w:val="1"/>
      <w:marLeft w:val="0"/>
      <w:marRight w:val="0"/>
      <w:marTop w:val="0"/>
      <w:marBottom w:val="0"/>
      <w:divBdr>
        <w:top w:val="none" w:sz="0" w:space="0" w:color="auto"/>
        <w:left w:val="none" w:sz="0" w:space="0" w:color="auto"/>
        <w:bottom w:val="none" w:sz="0" w:space="0" w:color="auto"/>
        <w:right w:val="none" w:sz="0" w:space="0" w:color="auto"/>
      </w:divBdr>
    </w:div>
    <w:div w:id="540214331">
      <w:bodyDiv w:val="1"/>
      <w:marLeft w:val="0"/>
      <w:marRight w:val="0"/>
      <w:marTop w:val="0"/>
      <w:marBottom w:val="0"/>
      <w:divBdr>
        <w:top w:val="none" w:sz="0" w:space="0" w:color="auto"/>
        <w:left w:val="none" w:sz="0" w:space="0" w:color="auto"/>
        <w:bottom w:val="none" w:sz="0" w:space="0" w:color="auto"/>
        <w:right w:val="none" w:sz="0" w:space="0" w:color="auto"/>
      </w:divBdr>
    </w:div>
    <w:div w:id="543448195">
      <w:bodyDiv w:val="1"/>
      <w:marLeft w:val="0"/>
      <w:marRight w:val="0"/>
      <w:marTop w:val="0"/>
      <w:marBottom w:val="0"/>
      <w:divBdr>
        <w:top w:val="none" w:sz="0" w:space="0" w:color="auto"/>
        <w:left w:val="none" w:sz="0" w:space="0" w:color="auto"/>
        <w:bottom w:val="none" w:sz="0" w:space="0" w:color="auto"/>
        <w:right w:val="none" w:sz="0" w:space="0" w:color="auto"/>
      </w:divBdr>
    </w:div>
    <w:div w:id="546183164">
      <w:bodyDiv w:val="1"/>
      <w:marLeft w:val="0"/>
      <w:marRight w:val="0"/>
      <w:marTop w:val="0"/>
      <w:marBottom w:val="0"/>
      <w:divBdr>
        <w:top w:val="none" w:sz="0" w:space="0" w:color="auto"/>
        <w:left w:val="none" w:sz="0" w:space="0" w:color="auto"/>
        <w:bottom w:val="none" w:sz="0" w:space="0" w:color="auto"/>
        <w:right w:val="none" w:sz="0" w:space="0" w:color="auto"/>
      </w:divBdr>
    </w:div>
    <w:div w:id="551845145">
      <w:bodyDiv w:val="1"/>
      <w:marLeft w:val="0"/>
      <w:marRight w:val="0"/>
      <w:marTop w:val="0"/>
      <w:marBottom w:val="0"/>
      <w:divBdr>
        <w:top w:val="none" w:sz="0" w:space="0" w:color="auto"/>
        <w:left w:val="none" w:sz="0" w:space="0" w:color="auto"/>
        <w:bottom w:val="none" w:sz="0" w:space="0" w:color="auto"/>
        <w:right w:val="none" w:sz="0" w:space="0" w:color="auto"/>
      </w:divBdr>
    </w:div>
    <w:div w:id="581259295">
      <w:bodyDiv w:val="1"/>
      <w:marLeft w:val="0"/>
      <w:marRight w:val="0"/>
      <w:marTop w:val="0"/>
      <w:marBottom w:val="0"/>
      <w:divBdr>
        <w:top w:val="none" w:sz="0" w:space="0" w:color="auto"/>
        <w:left w:val="none" w:sz="0" w:space="0" w:color="auto"/>
        <w:bottom w:val="none" w:sz="0" w:space="0" w:color="auto"/>
        <w:right w:val="none" w:sz="0" w:space="0" w:color="auto"/>
      </w:divBdr>
    </w:div>
    <w:div w:id="588271056">
      <w:bodyDiv w:val="1"/>
      <w:marLeft w:val="0"/>
      <w:marRight w:val="0"/>
      <w:marTop w:val="0"/>
      <w:marBottom w:val="0"/>
      <w:divBdr>
        <w:top w:val="none" w:sz="0" w:space="0" w:color="auto"/>
        <w:left w:val="none" w:sz="0" w:space="0" w:color="auto"/>
        <w:bottom w:val="none" w:sz="0" w:space="0" w:color="auto"/>
        <w:right w:val="none" w:sz="0" w:space="0" w:color="auto"/>
      </w:divBdr>
    </w:div>
    <w:div w:id="616525185">
      <w:bodyDiv w:val="1"/>
      <w:marLeft w:val="0"/>
      <w:marRight w:val="0"/>
      <w:marTop w:val="0"/>
      <w:marBottom w:val="0"/>
      <w:divBdr>
        <w:top w:val="none" w:sz="0" w:space="0" w:color="auto"/>
        <w:left w:val="none" w:sz="0" w:space="0" w:color="auto"/>
        <w:bottom w:val="none" w:sz="0" w:space="0" w:color="auto"/>
        <w:right w:val="none" w:sz="0" w:space="0" w:color="auto"/>
      </w:divBdr>
    </w:div>
    <w:div w:id="624428398">
      <w:bodyDiv w:val="1"/>
      <w:marLeft w:val="0"/>
      <w:marRight w:val="0"/>
      <w:marTop w:val="0"/>
      <w:marBottom w:val="0"/>
      <w:divBdr>
        <w:top w:val="none" w:sz="0" w:space="0" w:color="auto"/>
        <w:left w:val="none" w:sz="0" w:space="0" w:color="auto"/>
        <w:bottom w:val="none" w:sz="0" w:space="0" w:color="auto"/>
        <w:right w:val="none" w:sz="0" w:space="0" w:color="auto"/>
      </w:divBdr>
    </w:div>
    <w:div w:id="634800304">
      <w:bodyDiv w:val="1"/>
      <w:marLeft w:val="0"/>
      <w:marRight w:val="0"/>
      <w:marTop w:val="0"/>
      <w:marBottom w:val="0"/>
      <w:divBdr>
        <w:top w:val="none" w:sz="0" w:space="0" w:color="auto"/>
        <w:left w:val="none" w:sz="0" w:space="0" w:color="auto"/>
        <w:bottom w:val="none" w:sz="0" w:space="0" w:color="auto"/>
        <w:right w:val="none" w:sz="0" w:space="0" w:color="auto"/>
      </w:divBdr>
    </w:div>
    <w:div w:id="635375931">
      <w:bodyDiv w:val="1"/>
      <w:marLeft w:val="0"/>
      <w:marRight w:val="0"/>
      <w:marTop w:val="0"/>
      <w:marBottom w:val="0"/>
      <w:divBdr>
        <w:top w:val="none" w:sz="0" w:space="0" w:color="auto"/>
        <w:left w:val="none" w:sz="0" w:space="0" w:color="auto"/>
        <w:bottom w:val="none" w:sz="0" w:space="0" w:color="auto"/>
        <w:right w:val="none" w:sz="0" w:space="0" w:color="auto"/>
      </w:divBdr>
    </w:div>
    <w:div w:id="651058617">
      <w:bodyDiv w:val="1"/>
      <w:marLeft w:val="0"/>
      <w:marRight w:val="0"/>
      <w:marTop w:val="0"/>
      <w:marBottom w:val="0"/>
      <w:divBdr>
        <w:top w:val="none" w:sz="0" w:space="0" w:color="auto"/>
        <w:left w:val="none" w:sz="0" w:space="0" w:color="auto"/>
        <w:bottom w:val="none" w:sz="0" w:space="0" w:color="auto"/>
        <w:right w:val="none" w:sz="0" w:space="0" w:color="auto"/>
      </w:divBdr>
    </w:div>
    <w:div w:id="678888599">
      <w:bodyDiv w:val="1"/>
      <w:marLeft w:val="0"/>
      <w:marRight w:val="0"/>
      <w:marTop w:val="0"/>
      <w:marBottom w:val="0"/>
      <w:divBdr>
        <w:top w:val="none" w:sz="0" w:space="0" w:color="auto"/>
        <w:left w:val="none" w:sz="0" w:space="0" w:color="auto"/>
        <w:bottom w:val="none" w:sz="0" w:space="0" w:color="auto"/>
        <w:right w:val="none" w:sz="0" w:space="0" w:color="auto"/>
      </w:divBdr>
    </w:div>
    <w:div w:id="691300685">
      <w:bodyDiv w:val="1"/>
      <w:marLeft w:val="0"/>
      <w:marRight w:val="0"/>
      <w:marTop w:val="0"/>
      <w:marBottom w:val="0"/>
      <w:divBdr>
        <w:top w:val="none" w:sz="0" w:space="0" w:color="auto"/>
        <w:left w:val="none" w:sz="0" w:space="0" w:color="auto"/>
        <w:bottom w:val="none" w:sz="0" w:space="0" w:color="auto"/>
        <w:right w:val="none" w:sz="0" w:space="0" w:color="auto"/>
      </w:divBdr>
    </w:div>
    <w:div w:id="715203057">
      <w:bodyDiv w:val="1"/>
      <w:marLeft w:val="0"/>
      <w:marRight w:val="0"/>
      <w:marTop w:val="0"/>
      <w:marBottom w:val="0"/>
      <w:divBdr>
        <w:top w:val="none" w:sz="0" w:space="0" w:color="auto"/>
        <w:left w:val="none" w:sz="0" w:space="0" w:color="auto"/>
        <w:bottom w:val="none" w:sz="0" w:space="0" w:color="auto"/>
        <w:right w:val="none" w:sz="0" w:space="0" w:color="auto"/>
      </w:divBdr>
    </w:div>
    <w:div w:id="717782940">
      <w:bodyDiv w:val="1"/>
      <w:marLeft w:val="0"/>
      <w:marRight w:val="0"/>
      <w:marTop w:val="0"/>
      <w:marBottom w:val="0"/>
      <w:divBdr>
        <w:top w:val="none" w:sz="0" w:space="0" w:color="auto"/>
        <w:left w:val="none" w:sz="0" w:space="0" w:color="auto"/>
        <w:bottom w:val="none" w:sz="0" w:space="0" w:color="auto"/>
        <w:right w:val="none" w:sz="0" w:space="0" w:color="auto"/>
      </w:divBdr>
    </w:div>
    <w:div w:id="720443103">
      <w:bodyDiv w:val="1"/>
      <w:marLeft w:val="0"/>
      <w:marRight w:val="0"/>
      <w:marTop w:val="0"/>
      <w:marBottom w:val="0"/>
      <w:divBdr>
        <w:top w:val="none" w:sz="0" w:space="0" w:color="auto"/>
        <w:left w:val="none" w:sz="0" w:space="0" w:color="auto"/>
        <w:bottom w:val="none" w:sz="0" w:space="0" w:color="auto"/>
        <w:right w:val="none" w:sz="0" w:space="0" w:color="auto"/>
      </w:divBdr>
    </w:div>
    <w:div w:id="725491347">
      <w:bodyDiv w:val="1"/>
      <w:marLeft w:val="0"/>
      <w:marRight w:val="0"/>
      <w:marTop w:val="0"/>
      <w:marBottom w:val="0"/>
      <w:divBdr>
        <w:top w:val="none" w:sz="0" w:space="0" w:color="auto"/>
        <w:left w:val="none" w:sz="0" w:space="0" w:color="auto"/>
        <w:bottom w:val="none" w:sz="0" w:space="0" w:color="auto"/>
        <w:right w:val="none" w:sz="0" w:space="0" w:color="auto"/>
      </w:divBdr>
    </w:div>
    <w:div w:id="726300661">
      <w:bodyDiv w:val="1"/>
      <w:marLeft w:val="0"/>
      <w:marRight w:val="0"/>
      <w:marTop w:val="0"/>
      <w:marBottom w:val="0"/>
      <w:divBdr>
        <w:top w:val="none" w:sz="0" w:space="0" w:color="auto"/>
        <w:left w:val="none" w:sz="0" w:space="0" w:color="auto"/>
        <w:bottom w:val="none" w:sz="0" w:space="0" w:color="auto"/>
        <w:right w:val="none" w:sz="0" w:space="0" w:color="auto"/>
      </w:divBdr>
    </w:div>
    <w:div w:id="726494979">
      <w:bodyDiv w:val="1"/>
      <w:marLeft w:val="0"/>
      <w:marRight w:val="0"/>
      <w:marTop w:val="0"/>
      <w:marBottom w:val="0"/>
      <w:divBdr>
        <w:top w:val="none" w:sz="0" w:space="0" w:color="auto"/>
        <w:left w:val="none" w:sz="0" w:space="0" w:color="auto"/>
        <w:bottom w:val="none" w:sz="0" w:space="0" w:color="auto"/>
        <w:right w:val="none" w:sz="0" w:space="0" w:color="auto"/>
      </w:divBdr>
    </w:div>
    <w:div w:id="728190448">
      <w:bodyDiv w:val="1"/>
      <w:marLeft w:val="0"/>
      <w:marRight w:val="0"/>
      <w:marTop w:val="0"/>
      <w:marBottom w:val="0"/>
      <w:divBdr>
        <w:top w:val="none" w:sz="0" w:space="0" w:color="auto"/>
        <w:left w:val="none" w:sz="0" w:space="0" w:color="auto"/>
        <w:bottom w:val="none" w:sz="0" w:space="0" w:color="auto"/>
        <w:right w:val="none" w:sz="0" w:space="0" w:color="auto"/>
      </w:divBdr>
    </w:div>
    <w:div w:id="732116132">
      <w:bodyDiv w:val="1"/>
      <w:marLeft w:val="0"/>
      <w:marRight w:val="0"/>
      <w:marTop w:val="0"/>
      <w:marBottom w:val="0"/>
      <w:divBdr>
        <w:top w:val="none" w:sz="0" w:space="0" w:color="auto"/>
        <w:left w:val="none" w:sz="0" w:space="0" w:color="auto"/>
        <w:bottom w:val="none" w:sz="0" w:space="0" w:color="auto"/>
        <w:right w:val="none" w:sz="0" w:space="0" w:color="auto"/>
      </w:divBdr>
    </w:div>
    <w:div w:id="734668900">
      <w:bodyDiv w:val="1"/>
      <w:marLeft w:val="0"/>
      <w:marRight w:val="0"/>
      <w:marTop w:val="0"/>
      <w:marBottom w:val="0"/>
      <w:divBdr>
        <w:top w:val="none" w:sz="0" w:space="0" w:color="auto"/>
        <w:left w:val="none" w:sz="0" w:space="0" w:color="auto"/>
        <w:bottom w:val="none" w:sz="0" w:space="0" w:color="auto"/>
        <w:right w:val="none" w:sz="0" w:space="0" w:color="auto"/>
      </w:divBdr>
    </w:div>
    <w:div w:id="738093156">
      <w:bodyDiv w:val="1"/>
      <w:marLeft w:val="0"/>
      <w:marRight w:val="0"/>
      <w:marTop w:val="0"/>
      <w:marBottom w:val="0"/>
      <w:divBdr>
        <w:top w:val="none" w:sz="0" w:space="0" w:color="auto"/>
        <w:left w:val="none" w:sz="0" w:space="0" w:color="auto"/>
        <w:bottom w:val="none" w:sz="0" w:space="0" w:color="auto"/>
        <w:right w:val="none" w:sz="0" w:space="0" w:color="auto"/>
      </w:divBdr>
    </w:div>
    <w:div w:id="740252804">
      <w:bodyDiv w:val="1"/>
      <w:marLeft w:val="0"/>
      <w:marRight w:val="0"/>
      <w:marTop w:val="0"/>
      <w:marBottom w:val="0"/>
      <w:divBdr>
        <w:top w:val="none" w:sz="0" w:space="0" w:color="auto"/>
        <w:left w:val="none" w:sz="0" w:space="0" w:color="auto"/>
        <w:bottom w:val="none" w:sz="0" w:space="0" w:color="auto"/>
        <w:right w:val="none" w:sz="0" w:space="0" w:color="auto"/>
      </w:divBdr>
    </w:div>
    <w:div w:id="785733272">
      <w:bodyDiv w:val="1"/>
      <w:marLeft w:val="0"/>
      <w:marRight w:val="0"/>
      <w:marTop w:val="0"/>
      <w:marBottom w:val="0"/>
      <w:divBdr>
        <w:top w:val="none" w:sz="0" w:space="0" w:color="auto"/>
        <w:left w:val="none" w:sz="0" w:space="0" w:color="auto"/>
        <w:bottom w:val="none" w:sz="0" w:space="0" w:color="auto"/>
        <w:right w:val="none" w:sz="0" w:space="0" w:color="auto"/>
      </w:divBdr>
    </w:div>
    <w:div w:id="788202114">
      <w:bodyDiv w:val="1"/>
      <w:marLeft w:val="0"/>
      <w:marRight w:val="0"/>
      <w:marTop w:val="0"/>
      <w:marBottom w:val="0"/>
      <w:divBdr>
        <w:top w:val="none" w:sz="0" w:space="0" w:color="auto"/>
        <w:left w:val="none" w:sz="0" w:space="0" w:color="auto"/>
        <w:bottom w:val="none" w:sz="0" w:space="0" w:color="auto"/>
        <w:right w:val="none" w:sz="0" w:space="0" w:color="auto"/>
      </w:divBdr>
    </w:div>
    <w:div w:id="788283381">
      <w:bodyDiv w:val="1"/>
      <w:marLeft w:val="0"/>
      <w:marRight w:val="0"/>
      <w:marTop w:val="0"/>
      <w:marBottom w:val="0"/>
      <w:divBdr>
        <w:top w:val="none" w:sz="0" w:space="0" w:color="auto"/>
        <w:left w:val="none" w:sz="0" w:space="0" w:color="auto"/>
        <w:bottom w:val="none" w:sz="0" w:space="0" w:color="auto"/>
        <w:right w:val="none" w:sz="0" w:space="0" w:color="auto"/>
      </w:divBdr>
    </w:div>
    <w:div w:id="822162113">
      <w:bodyDiv w:val="1"/>
      <w:marLeft w:val="0"/>
      <w:marRight w:val="0"/>
      <w:marTop w:val="0"/>
      <w:marBottom w:val="0"/>
      <w:divBdr>
        <w:top w:val="none" w:sz="0" w:space="0" w:color="auto"/>
        <w:left w:val="none" w:sz="0" w:space="0" w:color="auto"/>
        <w:bottom w:val="none" w:sz="0" w:space="0" w:color="auto"/>
        <w:right w:val="none" w:sz="0" w:space="0" w:color="auto"/>
      </w:divBdr>
    </w:div>
    <w:div w:id="824320235">
      <w:bodyDiv w:val="1"/>
      <w:marLeft w:val="0"/>
      <w:marRight w:val="0"/>
      <w:marTop w:val="0"/>
      <w:marBottom w:val="0"/>
      <w:divBdr>
        <w:top w:val="none" w:sz="0" w:space="0" w:color="auto"/>
        <w:left w:val="none" w:sz="0" w:space="0" w:color="auto"/>
        <w:bottom w:val="none" w:sz="0" w:space="0" w:color="auto"/>
        <w:right w:val="none" w:sz="0" w:space="0" w:color="auto"/>
      </w:divBdr>
    </w:div>
    <w:div w:id="825437015">
      <w:bodyDiv w:val="1"/>
      <w:marLeft w:val="0"/>
      <w:marRight w:val="0"/>
      <w:marTop w:val="0"/>
      <w:marBottom w:val="0"/>
      <w:divBdr>
        <w:top w:val="none" w:sz="0" w:space="0" w:color="auto"/>
        <w:left w:val="none" w:sz="0" w:space="0" w:color="auto"/>
        <w:bottom w:val="none" w:sz="0" w:space="0" w:color="auto"/>
        <w:right w:val="none" w:sz="0" w:space="0" w:color="auto"/>
      </w:divBdr>
    </w:div>
    <w:div w:id="827087727">
      <w:bodyDiv w:val="1"/>
      <w:marLeft w:val="0"/>
      <w:marRight w:val="0"/>
      <w:marTop w:val="0"/>
      <w:marBottom w:val="0"/>
      <w:divBdr>
        <w:top w:val="none" w:sz="0" w:space="0" w:color="auto"/>
        <w:left w:val="none" w:sz="0" w:space="0" w:color="auto"/>
        <w:bottom w:val="none" w:sz="0" w:space="0" w:color="auto"/>
        <w:right w:val="none" w:sz="0" w:space="0" w:color="auto"/>
      </w:divBdr>
    </w:div>
    <w:div w:id="836001066">
      <w:bodyDiv w:val="1"/>
      <w:marLeft w:val="0"/>
      <w:marRight w:val="0"/>
      <w:marTop w:val="0"/>
      <w:marBottom w:val="0"/>
      <w:divBdr>
        <w:top w:val="none" w:sz="0" w:space="0" w:color="auto"/>
        <w:left w:val="none" w:sz="0" w:space="0" w:color="auto"/>
        <w:bottom w:val="none" w:sz="0" w:space="0" w:color="auto"/>
        <w:right w:val="none" w:sz="0" w:space="0" w:color="auto"/>
      </w:divBdr>
    </w:div>
    <w:div w:id="836069083">
      <w:bodyDiv w:val="1"/>
      <w:marLeft w:val="0"/>
      <w:marRight w:val="0"/>
      <w:marTop w:val="0"/>
      <w:marBottom w:val="0"/>
      <w:divBdr>
        <w:top w:val="none" w:sz="0" w:space="0" w:color="auto"/>
        <w:left w:val="none" w:sz="0" w:space="0" w:color="auto"/>
        <w:bottom w:val="none" w:sz="0" w:space="0" w:color="auto"/>
        <w:right w:val="none" w:sz="0" w:space="0" w:color="auto"/>
      </w:divBdr>
    </w:div>
    <w:div w:id="838934201">
      <w:bodyDiv w:val="1"/>
      <w:marLeft w:val="0"/>
      <w:marRight w:val="0"/>
      <w:marTop w:val="0"/>
      <w:marBottom w:val="0"/>
      <w:divBdr>
        <w:top w:val="none" w:sz="0" w:space="0" w:color="auto"/>
        <w:left w:val="none" w:sz="0" w:space="0" w:color="auto"/>
        <w:bottom w:val="none" w:sz="0" w:space="0" w:color="auto"/>
        <w:right w:val="none" w:sz="0" w:space="0" w:color="auto"/>
      </w:divBdr>
    </w:div>
    <w:div w:id="844589110">
      <w:bodyDiv w:val="1"/>
      <w:marLeft w:val="0"/>
      <w:marRight w:val="0"/>
      <w:marTop w:val="0"/>
      <w:marBottom w:val="0"/>
      <w:divBdr>
        <w:top w:val="none" w:sz="0" w:space="0" w:color="auto"/>
        <w:left w:val="none" w:sz="0" w:space="0" w:color="auto"/>
        <w:bottom w:val="none" w:sz="0" w:space="0" w:color="auto"/>
        <w:right w:val="none" w:sz="0" w:space="0" w:color="auto"/>
      </w:divBdr>
    </w:div>
    <w:div w:id="864290875">
      <w:bodyDiv w:val="1"/>
      <w:marLeft w:val="0"/>
      <w:marRight w:val="0"/>
      <w:marTop w:val="0"/>
      <w:marBottom w:val="0"/>
      <w:divBdr>
        <w:top w:val="none" w:sz="0" w:space="0" w:color="auto"/>
        <w:left w:val="none" w:sz="0" w:space="0" w:color="auto"/>
        <w:bottom w:val="none" w:sz="0" w:space="0" w:color="auto"/>
        <w:right w:val="none" w:sz="0" w:space="0" w:color="auto"/>
      </w:divBdr>
    </w:div>
    <w:div w:id="876627854">
      <w:bodyDiv w:val="1"/>
      <w:marLeft w:val="0"/>
      <w:marRight w:val="0"/>
      <w:marTop w:val="0"/>
      <w:marBottom w:val="0"/>
      <w:divBdr>
        <w:top w:val="none" w:sz="0" w:space="0" w:color="auto"/>
        <w:left w:val="none" w:sz="0" w:space="0" w:color="auto"/>
        <w:bottom w:val="none" w:sz="0" w:space="0" w:color="auto"/>
        <w:right w:val="none" w:sz="0" w:space="0" w:color="auto"/>
      </w:divBdr>
    </w:div>
    <w:div w:id="879823706">
      <w:bodyDiv w:val="1"/>
      <w:marLeft w:val="0"/>
      <w:marRight w:val="0"/>
      <w:marTop w:val="0"/>
      <w:marBottom w:val="0"/>
      <w:divBdr>
        <w:top w:val="none" w:sz="0" w:space="0" w:color="auto"/>
        <w:left w:val="none" w:sz="0" w:space="0" w:color="auto"/>
        <w:bottom w:val="none" w:sz="0" w:space="0" w:color="auto"/>
        <w:right w:val="none" w:sz="0" w:space="0" w:color="auto"/>
      </w:divBdr>
    </w:div>
    <w:div w:id="908077933">
      <w:bodyDiv w:val="1"/>
      <w:marLeft w:val="0"/>
      <w:marRight w:val="0"/>
      <w:marTop w:val="0"/>
      <w:marBottom w:val="0"/>
      <w:divBdr>
        <w:top w:val="none" w:sz="0" w:space="0" w:color="auto"/>
        <w:left w:val="none" w:sz="0" w:space="0" w:color="auto"/>
        <w:bottom w:val="none" w:sz="0" w:space="0" w:color="auto"/>
        <w:right w:val="none" w:sz="0" w:space="0" w:color="auto"/>
      </w:divBdr>
    </w:div>
    <w:div w:id="926842505">
      <w:bodyDiv w:val="1"/>
      <w:marLeft w:val="0"/>
      <w:marRight w:val="0"/>
      <w:marTop w:val="0"/>
      <w:marBottom w:val="0"/>
      <w:divBdr>
        <w:top w:val="none" w:sz="0" w:space="0" w:color="auto"/>
        <w:left w:val="none" w:sz="0" w:space="0" w:color="auto"/>
        <w:bottom w:val="none" w:sz="0" w:space="0" w:color="auto"/>
        <w:right w:val="none" w:sz="0" w:space="0" w:color="auto"/>
      </w:divBdr>
    </w:div>
    <w:div w:id="935597427">
      <w:bodyDiv w:val="1"/>
      <w:marLeft w:val="0"/>
      <w:marRight w:val="0"/>
      <w:marTop w:val="0"/>
      <w:marBottom w:val="0"/>
      <w:divBdr>
        <w:top w:val="none" w:sz="0" w:space="0" w:color="auto"/>
        <w:left w:val="none" w:sz="0" w:space="0" w:color="auto"/>
        <w:bottom w:val="none" w:sz="0" w:space="0" w:color="auto"/>
        <w:right w:val="none" w:sz="0" w:space="0" w:color="auto"/>
      </w:divBdr>
    </w:div>
    <w:div w:id="947347699">
      <w:bodyDiv w:val="1"/>
      <w:marLeft w:val="0"/>
      <w:marRight w:val="0"/>
      <w:marTop w:val="0"/>
      <w:marBottom w:val="0"/>
      <w:divBdr>
        <w:top w:val="none" w:sz="0" w:space="0" w:color="auto"/>
        <w:left w:val="none" w:sz="0" w:space="0" w:color="auto"/>
        <w:bottom w:val="none" w:sz="0" w:space="0" w:color="auto"/>
        <w:right w:val="none" w:sz="0" w:space="0" w:color="auto"/>
      </w:divBdr>
    </w:div>
    <w:div w:id="951326801">
      <w:bodyDiv w:val="1"/>
      <w:marLeft w:val="0"/>
      <w:marRight w:val="0"/>
      <w:marTop w:val="0"/>
      <w:marBottom w:val="0"/>
      <w:divBdr>
        <w:top w:val="none" w:sz="0" w:space="0" w:color="auto"/>
        <w:left w:val="none" w:sz="0" w:space="0" w:color="auto"/>
        <w:bottom w:val="none" w:sz="0" w:space="0" w:color="auto"/>
        <w:right w:val="none" w:sz="0" w:space="0" w:color="auto"/>
      </w:divBdr>
    </w:div>
    <w:div w:id="964893884">
      <w:bodyDiv w:val="1"/>
      <w:marLeft w:val="0"/>
      <w:marRight w:val="0"/>
      <w:marTop w:val="0"/>
      <w:marBottom w:val="0"/>
      <w:divBdr>
        <w:top w:val="none" w:sz="0" w:space="0" w:color="auto"/>
        <w:left w:val="none" w:sz="0" w:space="0" w:color="auto"/>
        <w:bottom w:val="none" w:sz="0" w:space="0" w:color="auto"/>
        <w:right w:val="none" w:sz="0" w:space="0" w:color="auto"/>
      </w:divBdr>
    </w:div>
    <w:div w:id="1012338782">
      <w:bodyDiv w:val="1"/>
      <w:marLeft w:val="0"/>
      <w:marRight w:val="0"/>
      <w:marTop w:val="0"/>
      <w:marBottom w:val="0"/>
      <w:divBdr>
        <w:top w:val="none" w:sz="0" w:space="0" w:color="auto"/>
        <w:left w:val="none" w:sz="0" w:space="0" w:color="auto"/>
        <w:bottom w:val="none" w:sz="0" w:space="0" w:color="auto"/>
        <w:right w:val="none" w:sz="0" w:space="0" w:color="auto"/>
      </w:divBdr>
    </w:div>
    <w:div w:id="1028946594">
      <w:bodyDiv w:val="1"/>
      <w:marLeft w:val="0"/>
      <w:marRight w:val="0"/>
      <w:marTop w:val="0"/>
      <w:marBottom w:val="0"/>
      <w:divBdr>
        <w:top w:val="none" w:sz="0" w:space="0" w:color="auto"/>
        <w:left w:val="none" w:sz="0" w:space="0" w:color="auto"/>
        <w:bottom w:val="none" w:sz="0" w:space="0" w:color="auto"/>
        <w:right w:val="none" w:sz="0" w:space="0" w:color="auto"/>
      </w:divBdr>
    </w:div>
    <w:div w:id="1030642150">
      <w:bodyDiv w:val="1"/>
      <w:marLeft w:val="0"/>
      <w:marRight w:val="0"/>
      <w:marTop w:val="0"/>
      <w:marBottom w:val="0"/>
      <w:divBdr>
        <w:top w:val="none" w:sz="0" w:space="0" w:color="auto"/>
        <w:left w:val="none" w:sz="0" w:space="0" w:color="auto"/>
        <w:bottom w:val="none" w:sz="0" w:space="0" w:color="auto"/>
        <w:right w:val="none" w:sz="0" w:space="0" w:color="auto"/>
      </w:divBdr>
    </w:div>
    <w:div w:id="1034574072">
      <w:bodyDiv w:val="1"/>
      <w:marLeft w:val="0"/>
      <w:marRight w:val="0"/>
      <w:marTop w:val="0"/>
      <w:marBottom w:val="0"/>
      <w:divBdr>
        <w:top w:val="none" w:sz="0" w:space="0" w:color="auto"/>
        <w:left w:val="none" w:sz="0" w:space="0" w:color="auto"/>
        <w:bottom w:val="none" w:sz="0" w:space="0" w:color="auto"/>
        <w:right w:val="none" w:sz="0" w:space="0" w:color="auto"/>
      </w:divBdr>
    </w:div>
    <w:div w:id="1044597936">
      <w:bodyDiv w:val="1"/>
      <w:marLeft w:val="0"/>
      <w:marRight w:val="0"/>
      <w:marTop w:val="0"/>
      <w:marBottom w:val="0"/>
      <w:divBdr>
        <w:top w:val="none" w:sz="0" w:space="0" w:color="auto"/>
        <w:left w:val="none" w:sz="0" w:space="0" w:color="auto"/>
        <w:bottom w:val="none" w:sz="0" w:space="0" w:color="auto"/>
        <w:right w:val="none" w:sz="0" w:space="0" w:color="auto"/>
      </w:divBdr>
    </w:div>
    <w:div w:id="1073312207">
      <w:bodyDiv w:val="1"/>
      <w:marLeft w:val="0"/>
      <w:marRight w:val="0"/>
      <w:marTop w:val="0"/>
      <w:marBottom w:val="0"/>
      <w:divBdr>
        <w:top w:val="none" w:sz="0" w:space="0" w:color="auto"/>
        <w:left w:val="none" w:sz="0" w:space="0" w:color="auto"/>
        <w:bottom w:val="none" w:sz="0" w:space="0" w:color="auto"/>
        <w:right w:val="none" w:sz="0" w:space="0" w:color="auto"/>
      </w:divBdr>
    </w:div>
    <w:div w:id="1074662876">
      <w:bodyDiv w:val="1"/>
      <w:marLeft w:val="0"/>
      <w:marRight w:val="0"/>
      <w:marTop w:val="0"/>
      <w:marBottom w:val="0"/>
      <w:divBdr>
        <w:top w:val="none" w:sz="0" w:space="0" w:color="auto"/>
        <w:left w:val="none" w:sz="0" w:space="0" w:color="auto"/>
        <w:bottom w:val="none" w:sz="0" w:space="0" w:color="auto"/>
        <w:right w:val="none" w:sz="0" w:space="0" w:color="auto"/>
      </w:divBdr>
    </w:div>
    <w:div w:id="1101487486">
      <w:bodyDiv w:val="1"/>
      <w:marLeft w:val="0"/>
      <w:marRight w:val="0"/>
      <w:marTop w:val="0"/>
      <w:marBottom w:val="0"/>
      <w:divBdr>
        <w:top w:val="none" w:sz="0" w:space="0" w:color="auto"/>
        <w:left w:val="none" w:sz="0" w:space="0" w:color="auto"/>
        <w:bottom w:val="none" w:sz="0" w:space="0" w:color="auto"/>
        <w:right w:val="none" w:sz="0" w:space="0" w:color="auto"/>
      </w:divBdr>
    </w:div>
    <w:div w:id="1104303890">
      <w:bodyDiv w:val="1"/>
      <w:marLeft w:val="0"/>
      <w:marRight w:val="0"/>
      <w:marTop w:val="0"/>
      <w:marBottom w:val="0"/>
      <w:divBdr>
        <w:top w:val="none" w:sz="0" w:space="0" w:color="auto"/>
        <w:left w:val="none" w:sz="0" w:space="0" w:color="auto"/>
        <w:bottom w:val="none" w:sz="0" w:space="0" w:color="auto"/>
        <w:right w:val="none" w:sz="0" w:space="0" w:color="auto"/>
      </w:divBdr>
    </w:div>
    <w:div w:id="1110202806">
      <w:bodyDiv w:val="1"/>
      <w:marLeft w:val="0"/>
      <w:marRight w:val="0"/>
      <w:marTop w:val="0"/>
      <w:marBottom w:val="0"/>
      <w:divBdr>
        <w:top w:val="none" w:sz="0" w:space="0" w:color="auto"/>
        <w:left w:val="none" w:sz="0" w:space="0" w:color="auto"/>
        <w:bottom w:val="none" w:sz="0" w:space="0" w:color="auto"/>
        <w:right w:val="none" w:sz="0" w:space="0" w:color="auto"/>
      </w:divBdr>
    </w:div>
    <w:div w:id="1116870976">
      <w:bodyDiv w:val="1"/>
      <w:marLeft w:val="0"/>
      <w:marRight w:val="0"/>
      <w:marTop w:val="0"/>
      <w:marBottom w:val="0"/>
      <w:divBdr>
        <w:top w:val="none" w:sz="0" w:space="0" w:color="auto"/>
        <w:left w:val="none" w:sz="0" w:space="0" w:color="auto"/>
        <w:bottom w:val="none" w:sz="0" w:space="0" w:color="auto"/>
        <w:right w:val="none" w:sz="0" w:space="0" w:color="auto"/>
      </w:divBdr>
    </w:div>
    <w:div w:id="1120032911">
      <w:bodyDiv w:val="1"/>
      <w:marLeft w:val="0"/>
      <w:marRight w:val="0"/>
      <w:marTop w:val="0"/>
      <w:marBottom w:val="0"/>
      <w:divBdr>
        <w:top w:val="none" w:sz="0" w:space="0" w:color="auto"/>
        <w:left w:val="none" w:sz="0" w:space="0" w:color="auto"/>
        <w:bottom w:val="none" w:sz="0" w:space="0" w:color="auto"/>
        <w:right w:val="none" w:sz="0" w:space="0" w:color="auto"/>
      </w:divBdr>
    </w:div>
    <w:div w:id="1148664060">
      <w:bodyDiv w:val="1"/>
      <w:marLeft w:val="0"/>
      <w:marRight w:val="0"/>
      <w:marTop w:val="0"/>
      <w:marBottom w:val="0"/>
      <w:divBdr>
        <w:top w:val="none" w:sz="0" w:space="0" w:color="auto"/>
        <w:left w:val="none" w:sz="0" w:space="0" w:color="auto"/>
        <w:bottom w:val="none" w:sz="0" w:space="0" w:color="auto"/>
        <w:right w:val="none" w:sz="0" w:space="0" w:color="auto"/>
      </w:divBdr>
    </w:div>
    <w:div w:id="1156141514">
      <w:bodyDiv w:val="1"/>
      <w:marLeft w:val="0"/>
      <w:marRight w:val="0"/>
      <w:marTop w:val="0"/>
      <w:marBottom w:val="0"/>
      <w:divBdr>
        <w:top w:val="none" w:sz="0" w:space="0" w:color="auto"/>
        <w:left w:val="none" w:sz="0" w:space="0" w:color="auto"/>
        <w:bottom w:val="none" w:sz="0" w:space="0" w:color="auto"/>
        <w:right w:val="none" w:sz="0" w:space="0" w:color="auto"/>
      </w:divBdr>
    </w:div>
    <w:div w:id="1162624046">
      <w:bodyDiv w:val="1"/>
      <w:marLeft w:val="0"/>
      <w:marRight w:val="0"/>
      <w:marTop w:val="0"/>
      <w:marBottom w:val="0"/>
      <w:divBdr>
        <w:top w:val="none" w:sz="0" w:space="0" w:color="auto"/>
        <w:left w:val="none" w:sz="0" w:space="0" w:color="auto"/>
        <w:bottom w:val="none" w:sz="0" w:space="0" w:color="auto"/>
        <w:right w:val="none" w:sz="0" w:space="0" w:color="auto"/>
      </w:divBdr>
    </w:div>
    <w:div w:id="1172332805">
      <w:bodyDiv w:val="1"/>
      <w:marLeft w:val="0"/>
      <w:marRight w:val="0"/>
      <w:marTop w:val="0"/>
      <w:marBottom w:val="0"/>
      <w:divBdr>
        <w:top w:val="none" w:sz="0" w:space="0" w:color="auto"/>
        <w:left w:val="none" w:sz="0" w:space="0" w:color="auto"/>
        <w:bottom w:val="none" w:sz="0" w:space="0" w:color="auto"/>
        <w:right w:val="none" w:sz="0" w:space="0" w:color="auto"/>
      </w:divBdr>
    </w:div>
    <w:div w:id="1177501754">
      <w:bodyDiv w:val="1"/>
      <w:marLeft w:val="0"/>
      <w:marRight w:val="0"/>
      <w:marTop w:val="0"/>
      <w:marBottom w:val="0"/>
      <w:divBdr>
        <w:top w:val="none" w:sz="0" w:space="0" w:color="auto"/>
        <w:left w:val="none" w:sz="0" w:space="0" w:color="auto"/>
        <w:bottom w:val="none" w:sz="0" w:space="0" w:color="auto"/>
        <w:right w:val="none" w:sz="0" w:space="0" w:color="auto"/>
      </w:divBdr>
    </w:div>
    <w:div w:id="1202212566">
      <w:bodyDiv w:val="1"/>
      <w:marLeft w:val="0"/>
      <w:marRight w:val="0"/>
      <w:marTop w:val="0"/>
      <w:marBottom w:val="0"/>
      <w:divBdr>
        <w:top w:val="none" w:sz="0" w:space="0" w:color="auto"/>
        <w:left w:val="none" w:sz="0" w:space="0" w:color="auto"/>
        <w:bottom w:val="none" w:sz="0" w:space="0" w:color="auto"/>
        <w:right w:val="none" w:sz="0" w:space="0" w:color="auto"/>
      </w:divBdr>
    </w:div>
    <w:div w:id="1220901557">
      <w:bodyDiv w:val="1"/>
      <w:marLeft w:val="0"/>
      <w:marRight w:val="0"/>
      <w:marTop w:val="0"/>
      <w:marBottom w:val="0"/>
      <w:divBdr>
        <w:top w:val="none" w:sz="0" w:space="0" w:color="auto"/>
        <w:left w:val="none" w:sz="0" w:space="0" w:color="auto"/>
        <w:bottom w:val="none" w:sz="0" w:space="0" w:color="auto"/>
        <w:right w:val="none" w:sz="0" w:space="0" w:color="auto"/>
      </w:divBdr>
    </w:div>
    <w:div w:id="1234244027">
      <w:bodyDiv w:val="1"/>
      <w:marLeft w:val="0"/>
      <w:marRight w:val="0"/>
      <w:marTop w:val="0"/>
      <w:marBottom w:val="0"/>
      <w:divBdr>
        <w:top w:val="none" w:sz="0" w:space="0" w:color="auto"/>
        <w:left w:val="none" w:sz="0" w:space="0" w:color="auto"/>
        <w:bottom w:val="none" w:sz="0" w:space="0" w:color="auto"/>
        <w:right w:val="none" w:sz="0" w:space="0" w:color="auto"/>
      </w:divBdr>
    </w:div>
    <w:div w:id="1237548216">
      <w:bodyDiv w:val="1"/>
      <w:marLeft w:val="0"/>
      <w:marRight w:val="0"/>
      <w:marTop w:val="0"/>
      <w:marBottom w:val="0"/>
      <w:divBdr>
        <w:top w:val="none" w:sz="0" w:space="0" w:color="auto"/>
        <w:left w:val="none" w:sz="0" w:space="0" w:color="auto"/>
        <w:bottom w:val="none" w:sz="0" w:space="0" w:color="auto"/>
        <w:right w:val="none" w:sz="0" w:space="0" w:color="auto"/>
      </w:divBdr>
    </w:div>
    <w:div w:id="1250383360">
      <w:bodyDiv w:val="1"/>
      <w:marLeft w:val="0"/>
      <w:marRight w:val="0"/>
      <w:marTop w:val="0"/>
      <w:marBottom w:val="0"/>
      <w:divBdr>
        <w:top w:val="none" w:sz="0" w:space="0" w:color="auto"/>
        <w:left w:val="none" w:sz="0" w:space="0" w:color="auto"/>
        <w:bottom w:val="none" w:sz="0" w:space="0" w:color="auto"/>
        <w:right w:val="none" w:sz="0" w:space="0" w:color="auto"/>
      </w:divBdr>
    </w:div>
    <w:div w:id="1258253677">
      <w:bodyDiv w:val="1"/>
      <w:marLeft w:val="0"/>
      <w:marRight w:val="0"/>
      <w:marTop w:val="0"/>
      <w:marBottom w:val="0"/>
      <w:divBdr>
        <w:top w:val="none" w:sz="0" w:space="0" w:color="auto"/>
        <w:left w:val="none" w:sz="0" w:space="0" w:color="auto"/>
        <w:bottom w:val="none" w:sz="0" w:space="0" w:color="auto"/>
        <w:right w:val="none" w:sz="0" w:space="0" w:color="auto"/>
      </w:divBdr>
    </w:div>
    <w:div w:id="1282960387">
      <w:bodyDiv w:val="1"/>
      <w:marLeft w:val="0"/>
      <w:marRight w:val="0"/>
      <w:marTop w:val="0"/>
      <w:marBottom w:val="0"/>
      <w:divBdr>
        <w:top w:val="none" w:sz="0" w:space="0" w:color="auto"/>
        <w:left w:val="none" w:sz="0" w:space="0" w:color="auto"/>
        <w:bottom w:val="none" w:sz="0" w:space="0" w:color="auto"/>
        <w:right w:val="none" w:sz="0" w:space="0" w:color="auto"/>
      </w:divBdr>
    </w:div>
    <w:div w:id="1283264497">
      <w:bodyDiv w:val="1"/>
      <w:marLeft w:val="0"/>
      <w:marRight w:val="0"/>
      <w:marTop w:val="0"/>
      <w:marBottom w:val="0"/>
      <w:divBdr>
        <w:top w:val="none" w:sz="0" w:space="0" w:color="auto"/>
        <w:left w:val="none" w:sz="0" w:space="0" w:color="auto"/>
        <w:bottom w:val="none" w:sz="0" w:space="0" w:color="auto"/>
        <w:right w:val="none" w:sz="0" w:space="0" w:color="auto"/>
      </w:divBdr>
    </w:div>
    <w:div w:id="1286932052">
      <w:bodyDiv w:val="1"/>
      <w:marLeft w:val="0"/>
      <w:marRight w:val="0"/>
      <w:marTop w:val="0"/>
      <w:marBottom w:val="0"/>
      <w:divBdr>
        <w:top w:val="none" w:sz="0" w:space="0" w:color="auto"/>
        <w:left w:val="none" w:sz="0" w:space="0" w:color="auto"/>
        <w:bottom w:val="none" w:sz="0" w:space="0" w:color="auto"/>
        <w:right w:val="none" w:sz="0" w:space="0" w:color="auto"/>
      </w:divBdr>
    </w:div>
    <w:div w:id="1300379485">
      <w:bodyDiv w:val="1"/>
      <w:marLeft w:val="0"/>
      <w:marRight w:val="0"/>
      <w:marTop w:val="0"/>
      <w:marBottom w:val="0"/>
      <w:divBdr>
        <w:top w:val="none" w:sz="0" w:space="0" w:color="auto"/>
        <w:left w:val="none" w:sz="0" w:space="0" w:color="auto"/>
        <w:bottom w:val="none" w:sz="0" w:space="0" w:color="auto"/>
        <w:right w:val="none" w:sz="0" w:space="0" w:color="auto"/>
      </w:divBdr>
    </w:div>
    <w:div w:id="1304232355">
      <w:bodyDiv w:val="1"/>
      <w:marLeft w:val="0"/>
      <w:marRight w:val="0"/>
      <w:marTop w:val="0"/>
      <w:marBottom w:val="0"/>
      <w:divBdr>
        <w:top w:val="none" w:sz="0" w:space="0" w:color="auto"/>
        <w:left w:val="none" w:sz="0" w:space="0" w:color="auto"/>
        <w:bottom w:val="none" w:sz="0" w:space="0" w:color="auto"/>
        <w:right w:val="none" w:sz="0" w:space="0" w:color="auto"/>
      </w:divBdr>
    </w:div>
    <w:div w:id="1307658489">
      <w:bodyDiv w:val="1"/>
      <w:marLeft w:val="0"/>
      <w:marRight w:val="0"/>
      <w:marTop w:val="0"/>
      <w:marBottom w:val="0"/>
      <w:divBdr>
        <w:top w:val="none" w:sz="0" w:space="0" w:color="auto"/>
        <w:left w:val="none" w:sz="0" w:space="0" w:color="auto"/>
        <w:bottom w:val="none" w:sz="0" w:space="0" w:color="auto"/>
        <w:right w:val="none" w:sz="0" w:space="0" w:color="auto"/>
      </w:divBdr>
    </w:div>
    <w:div w:id="1316953759">
      <w:bodyDiv w:val="1"/>
      <w:marLeft w:val="0"/>
      <w:marRight w:val="0"/>
      <w:marTop w:val="0"/>
      <w:marBottom w:val="0"/>
      <w:divBdr>
        <w:top w:val="none" w:sz="0" w:space="0" w:color="auto"/>
        <w:left w:val="none" w:sz="0" w:space="0" w:color="auto"/>
        <w:bottom w:val="none" w:sz="0" w:space="0" w:color="auto"/>
        <w:right w:val="none" w:sz="0" w:space="0" w:color="auto"/>
      </w:divBdr>
    </w:div>
    <w:div w:id="1342394109">
      <w:bodyDiv w:val="1"/>
      <w:marLeft w:val="0"/>
      <w:marRight w:val="0"/>
      <w:marTop w:val="0"/>
      <w:marBottom w:val="0"/>
      <w:divBdr>
        <w:top w:val="none" w:sz="0" w:space="0" w:color="auto"/>
        <w:left w:val="none" w:sz="0" w:space="0" w:color="auto"/>
        <w:bottom w:val="none" w:sz="0" w:space="0" w:color="auto"/>
        <w:right w:val="none" w:sz="0" w:space="0" w:color="auto"/>
      </w:divBdr>
    </w:div>
    <w:div w:id="1346904155">
      <w:bodyDiv w:val="1"/>
      <w:marLeft w:val="0"/>
      <w:marRight w:val="0"/>
      <w:marTop w:val="0"/>
      <w:marBottom w:val="0"/>
      <w:divBdr>
        <w:top w:val="none" w:sz="0" w:space="0" w:color="auto"/>
        <w:left w:val="none" w:sz="0" w:space="0" w:color="auto"/>
        <w:bottom w:val="none" w:sz="0" w:space="0" w:color="auto"/>
        <w:right w:val="none" w:sz="0" w:space="0" w:color="auto"/>
      </w:divBdr>
    </w:div>
    <w:div w:id="1346907173">
      <w:bodyDiv w:val="1"/>
      <w:marLeft w:val="0"/>
      <w:marRight w:val="0"/>
      <w:marTop w:val="0"/>
      <w:marBottom w:val="0"/>
      <w:divBdr>
        <w:top w:val="none" w:sz="0" w:space="0" w:color="auto"/>
        <w:left w:val="none" w:sz="0" w:space="0" w:color="auto"/>
        <w:bottom w:val="none" w:sz="0" w:space="0" w:color="auto"/>
        <w:right w:val="none" w:sz="0" w:space="0" w:color="auto"/>
      </w:divBdr>
    </w:div>
    <w:div w:id="1355964169">
      <w:bodyDiv w:val="1"/>
      <w:marLeft w:val="0"/>
      <w:marRight w:val="0"/>
      <w:marTop w:val="0"/>
      <w:marBottom w:val="0"/>
      <w:divBdr>
        <w:top w:val="none" w:sz="0" w:space="0" w:color="auto"/>
        <w:left w:val="none" w:sz="0" w:space="0" w:color="auto"/>
        <w:bottom w:val="none" w:sz="0" w:space="0" w:color="auto"/>
        <w:right w:val="none" w:sz="0" w:space="0" w:color="auto"/>
      </w:divBdr>
    </w:div>
    <w:div w:id="1358769789">
      <w:bodyDiv w:val="1"/>
      <w:marLeft w:val="0"/>
      <w:marRight w:val="0"/>
      <w:marTop w:val="0"/>
      <w:marBottom w:val="0"/>
      <w:divBdr>
        <w:top w:val="none" w:sz="0" w:space="0" w:color="auto"/>
        <w:left w:val="none" w:sz="0" w:space="0" w:color="auto"/>
        <w:bottom w:val="none" w:sz="0" w:space="0" w:color="auto"/>
        <w:right w:val="none" w:sz="0" w:space="0" w:color="auto"/>
      </w:divBdr>
    </w:div>
    <w:div w:id="1364669437">
      <w:bodyDiv w:val="1"/>
      <w:marLeft w:val="0"/>
      <w:marRight w:val="0"/>
      <w:marTop w:val="0"/>
      <w:marBottom w:val="0"/>
      <w:divBdr>
        <w:top w:val="none" w:sz="0" w:space="0" w:color="auto"/>
        <w:left w:val="none" w:sz="0" w:space="0" w:color="auto"/>
        <w:bottom w:val="none" w:sz="0" w:space="0" w:color="auto"/>
        <w:right w:val="none" w:sz="0" w:space="0" w:color="auto"/>
      </w:divBdr>
    </w:div>
    <w:div w:id="1365056039">
      <w:bodyDiv w:val="1"/>
      <w:marLeft w:val="0"/>
      <w:marRight w:val="0"/>
      <w:marTop w:val="0"/>
      <w:marBottom w:val="0"/>
      <w:divBdr>
        <w:top w:val="none" w:sz="0" w:space="0" w:color="auto"/>
        <w:left w:val="none" w:sz="0" w:space="0" w:color="auto"/>
        <w:bottom w:val="none" w:sz="0" w:space="0" w:color="auto"/>
        <w:right w:val="none" w:sz="0" w:space="0" w:color="auto"/>
      </w:divBdr>
    </w:div>
    <w:div w:id="1366638544">
      <w:bodyDiv w:val="1"/>
      <w:marLeft w:val="0"/>
      <w:marRight w:val="0"/>
      <w:marTop w:val="0"/>
      <w:marBottom w:val="0"/>
      <w:divBdr>
        <w:top w:val="none" w:sz="0" w:space="0" w:color="auto"/>
        <w:left w:val="none" w:sz="0" w:space="0" w:color="auto"/>
        <w:bottom w:val="none" w:sz="0" w:space="0" w:color="auto"/>
        <w:right w:val="none" w:sz="0" w:space="0" w:color="auto"/>
      </w:divBdr>
    </w:div>
    <w:div w:id="1374038235">
      <w:bodyDiv w:val="1"/>
      <w:marLeft w:val="0"/>
      <w:marRight w:val="0"/>
      <w:marTop w:val="0"/>
      <w:marBottom w:val="0"/>
      <w:divBdr>
        <w:top w:val="none" w:sz="0" w:space="0" w:color="auto"/>
        <w:left w:val="none" w:sz="0" w:space="0" w:color="auto"/>
        <w:bottom w:val="none" w:sz="0" w:space="0" w:color="auto"/>
        <w:right w:val="none" w:sz="0" w:space="0" w:color="auto"/>
      </w:divBdr>
    </w:div>
    <w:div w:id="1376082659">
      <w:bodyDiv w:val="1"/>
      <w:marLeft w:val="0"/>
      <w:marRight w:val="0"/>
      <w:marTop w:val="0"/>
      <w:marBottom w:val="0"/>
      <w:divBdr>
        <w:top w:val="none" w:sz="0" w:space="0" w:color="auto"/>
        <w:left w:val="none" w:sz="0" w:space="0" w:color="auto"/>
        <w:bottom w:val="none" w:sz="0" w:space="0" w:color="auto"/>
        <w:right w:val="none" w:sz="0" w:space="0" w:color="auto"/>
      </w:divBdr>
    </w:div>
    <w:div w:id="1389451172">
      <w:bodyDiv w:val="1"/>
      <w:marLeft w:val="0"/>
      <w:marRight w:val="0"/>
      <w:marTop w:val="0"/>
      <w:marBottom w:val="0"/>
      <w:divBdr>
        <w:top w:val="none" w:sz="0" w:space="0" w:color="auto"/>
        <w:left w:val="none" w:sz="0" w:space="0" w:color="auto"/>
        <w:bottom w:val="none" w:sz="0" w:space="0" w:color="auto"/>
        <w:right w:val="none" w:sz="0" w:space="0" w:color="auto"/>
      </w:divBdr>
    </w:div>
    <w:div w:id="1390230252">
      <w:bodyDiv w:val="1"/>
      <w:marLeft w:val="0"/>
      <w:marRight w:val="0"/>
      <w:marTop w:val="0"/>
      <w:marBottom w:val="0"/>
      <w:divBdr>
        <w:top w:val="none" w:sz="0" w:space="0" w:color="auto"/>
        <w:left w:val="none" w:sz="0" w:space="0" w:color="auto"/>
        <w:bottom w:val="none" w:sz="0" w:space="0" w:color="auto"/>
        <w:right w:val="none" w:sz="0" w:space="0" w:color="auto"/>
      </w:divBdr>
    </w:div>
    <w:div w:id="1391657588">
      <w:bodyDiv w:val="1"/>
      <w:marLeft w:val="0"/>
      <w:marRight w:val="0"/>
      <w:marTop w:val="0"/>
      <w:marBottom w:val="0"/>
      <w:divBdr>
        <w:top w:val="none" w:sz="0" w:space="0" w:color="auto"/>
        <w:left w:val="none" w:sz="0" w:space="0" w:color="auto"/>
        <w:bottom w:val="none" w:sz="0" w:space="0" w:color="auto"/>
        <w:right w:val="none" w:sz="0" w:space="0" w:color="auto"/>
      </w:divBdr>
    </w:div>
    <w:div w:id="1414276742">
      <w:bodyDiv w:val="1"/>
      <w:marLeft w:val="0"/>
      <w:marRight w:val="0"/>
      <w:marTop w:val="0"/>
      <w:marBottom w:val="0"/>
      <w:divBdr>
        <w:top w:val="none" w:sz="0" w:space="0" w:color="auto"/>
        <w:left w:val="none" w:sz="0" w:space="0" w:color="auto"/>
        <w:bottom w:val="none" w:sz="0" w:space="0" w:color="auto"/>
        <w:right w:val="none" w:sz="0" w:space="0" w:color="auto"/>
      </w:divBdr>
    </w:div>
    <w:div w:id="1422029099">
      <w:bodyDiv w:val="1"/>
      <w:marLeft w:val="0"/>
      <w:marRight w:val="0"/>
      <w:marTop w:val="0"/>
      <w:marBottom w:val="0"/>
      <w:divBdr>
        <w:top w:val="none" w:sz="0" w:space="0" w:color="auto"/>
        <w:left w:val="none" w:sz="0" w:space="0" w:color="auto"/>
        <w:bottom w:val="none" w:sz="0" w:space="0" w:color="auto"/>
        <w:right w:val="none" w:sz="0" w:space="0" w:color="auto"/>
      </w:divBdr>
    </w:div>
    <w:div w:id="1423913154">
      <w:bodyDiv w:val="1"/>
      <w:marLeft w:val="0"/>
      <w:marRight w:val="0"/>
      <w:marTop w:val="0"/>
      <w:marBottom w:val="0"/>
      <w:divBdr>
        <w:top w:val="none" w:sz="0" w:space="0" w:color="auto"/>
        <w:left w:val="none" w:sz="0" w:space="0" w:color="auto"/>
        <w:bottom w:val="none" w:sz="0" w:space="0" w:color="auto"/>
        <w:right w:val="none" w:sz="0" w:space="0" w:color="auto"/>
      </w:divBdr>
    </w:div>
    <w:div w:id="1435592925">
      <w:bodyDiv w:val="1"/>
      <w:marLeft w:val="0"/>
      <w:marRight w:val="0"/>
      <w:marTop w:val="0"/>
      <w:marBottom w:val="0"/>
      <w:divBdr>
        <w:top w:val="none" w:sz="0" w:space="0" w:color="auto"/>
        <w:left w:val="none" w:sz="0" w:space="0" w:color="auto"/>
        <w:bottom w:val="none" w:sz="0" w:space="0" w:color="auto"/>
        <w:right w:val="none" w:sz="0" w:space="0" w:color="auto"/>
      </w:divBdr>
    </w:div>
    <w:div w:id="1439594505">
      <w:bodyDiv w:val="1"/>
      <w:marLeft w:val="0"/>
      <w:marRight w:val="0"/>
      <w:marTop w:val="0"/>
      <w:marBottom w:val="0"/>
      <w:divBdr>
        <w:top w:val="none" w:sz="0" w:space="0" w:color="auto"/>
        <w:left w:val="none" w:sz="0" w:space="0" w:color="auto"/>
        <w:bottom w:val="none" w:sz="0" w:space="0" w:color="auto"/>
        <w:right w:val="none" w:sz="0" w:space="0" w:color="auto"/>
      </w:divBdr>
    </w:div>
    <w:div w:id="1441995141">
      <w:bodyDiv w:val="1"/>
      <w:marLeft w:val="0"/>
      <w:marRight w:val="0"/>
      <w:marTop w:val="0"/>
      <w:marBottom w:val="0"/>
      <w:divBdr>
        <w:top w:val="none" w:sz="0" w:space="0" w:color="auto"/>
        <w:left w:val="none" w:sz="0" w:space="0" w:color="auto"/>
        <w:bottom w:val="none" w:sz="0" w:space="0" w:color="auto"/>
        <w:right w:val="none" w:sz="0" w:space="0" w:color="auto"/>
      </w:divBdr>
    </w:div>
    <w:div w:id="1456023354">
      <w:bodyDiv w:val="1"/>
      <w:marLeft w:val="0"/>
      <w:marRight w:val="0"/>
      <w:marTop w:val="0"/>
      <w:marBottom w:val="0"/>
      <w:divBdr>
        <w:top w:val="none" w:sz="0" w:space="0" w:color="auto"/>
        <w:left w:val="none" w:sz="0" w:space="0" w:color="auto"/>
        <w:bottom w:val="none" w:sz="0" w:space="0" w:color="auto"/>
        <w:right w:val="none" w:sz="0" w:space="0" w:color="auto"/>
      </w:divBdr>
    </w:div>
    <w:div w:id="1456221053">
      <w:bodyDiv w:val="1"/>
      <w:marLeft w:val="0"/>
      <w:marRight w:val="0"/>
      <w:marTop w:val="0"/>
      <w:marBottom w:val="0"/>
      <w:divBdr>
        <w:top w:val="none" w:sz="0" w:space="0" w:color="auto"/>
        <w:left w:val="none" w:sz="0" w:space="0" w:color="auto"/>
        <w:bottom w:val="none" w:sz="0" w:space="0" w:color="auto"/>
        <w:right w:val="none" w:sz="0" w:space="0" w:color="auto"/>
      </w:divBdr>
    </w:div>
    <w:div w:id="1470513557">
      <w:bodyDiv w:val="1"/>
      <w:marLeft w:val="0"/>
      <w:marRight w:val="0"/>
      <w:marTop w:val="0"/>
      <w:marBottom w:val="0"/>
      <w:divBdr>
        <w:top w:val="none" w:sz="0" w:space="0" w:color="auto"/>
        <w:left w:val="none" w:sz="0" w:space="0" w:color="auto"/>
        <w:bottom w:val="none" w:sz="0" w:space="0" w:color="auto"/>
        <w:right w:val="none" w:sz="0" w:space="0" w:color="auto"/>
      </w:divBdr>
    </w:div>
    <w:div w:id="1476723044">
      <w:bodyDiv w:val="1"/>
      <w:marLeft w:val="0"/>
      <w:marRight w:val="0"/>
      <w:marTop w:val="0"/>
      <w:marBottom w:val="0"/>
      <w:divBdr>
        <w:top w:val="none" w:sz="0" w:space="0" w:color="auto"/>
        <w:left w:val="none" w:sz="0" w:space="0" w:color="auto"/>
        <w:bottom w:val="none" w:sz="0" w:space="0" w:color="auto"/>
        <w:right w:val="none" w:sz="0" w:space="0" w:color="auto"/>
      </w:divBdr>
    </w:div>
    <w:div w:id="1482844446">
      <w:bodyDiv w:val="1"/>
      <w:marLeft w:val="0"/>
      <w:marRight w:val="0"/>
      <w:marTop w:val="0"/>
      <w:marBottom w:val="0"/>
      <w:divBdr>
        <w:top w:val="none" w:sz="0" w:space="0" w:color="auto"/>
        <w:left w:val="none" w:sz="0" w:space="0" w:color="auto"/>
        <w:bottom w:val="none" w:sz="0" w:space="0" w:color="auto"/>
        <w:right w:val="none" w:sz="0" w:space="0" w:color="auto"/>
      </w:divBdr>
    </w:div>
    <w:div w:id="1486162884">
      <w:bodyDiv w:val="1"/>
      <w:marLeft w:val="0"/>
      <w:marRight w:val="0"/>
      <w:marTop w:val="0"/>
      <w:marBottom w:val="0"/>
      <w:divBdr>
        <w:top w:val="none" w:sz="0" w:space="0" w:color="auto"/>
        <w:left w:val="none" w:sz="0" w:space="0" w:color="auto"/>
        <w:bottom w:val="none" w:sz="0" w:space="0" w:color="auto"/>
        <w:right w:val="none" w:sz="0" w:space="0" w:color="auto"/>
      </w:divBdr>
    </w:div>
    <w:div w:id="1490100378">
      <w:bodyDiv w:val="1"/>
      <w:marLeft w:val="0"/>
      <w:marRight w:val="0"/>
      <w:marTop w:val="0"/>
      <w:marBottom w:val="0"/>
      <w:divBdr>
        <w:top w:val="none" w:sz="0" w:space="0" w:color="auto"/>
        <w:left w:val="none" w:sz="0" w:space="0" w:color="auto"/>
        <w:bottom w:val="none" w:sz="0" w:space="0" w:color="auto"/>
        <w:right w:val="none" w:sz="0" w:space="0" w:color="auto"/>
      </w:divBdr>
    </w:div>
    <w:div w:id="1504978562">
      <w:bodyDiv w:val="1"/>
      <w:marLeft w:val="0"/>
      <w:marRight w:val="0"/>
      <w:marTop w:val="0"/>
      <w:marBottom w:val="0"/>
      <w:divBdr>
        <w:top w:val="none" w:sz="0" w:space="0" w:color="auto"/>
        <w:left w:val="none" w:sz="0" w:space="0" w:color="auto"/>
        <w:bottom w:val="none" w:sz="0" w:space="0" w:color="auto"/>
        <w:right w:val="none" w:sz="0" w:space="0" w:color="auto"/>
      </w:divBdr>
    </w:div>
    <w:div w:id="1514804666">
      <w:bodyDiv w:val="1"/>
      <w:marLeft w:val="0"/>
      <w:marRight w:val="0"/>
      <w:marTop w:val="0"/>
      <w:marBottom w:val="0"/>
      <w:divBdr>
        <w:top w:val="none" w:sz="0" w:space="0" w:color="auto"/>
        <w:left w:val="none" w:sz="0" w:space="0" w:color="auto"/>
        <w:bottom w:val="none" w:sz="0" w:space="0" w:color="auto"/>
        <w:right w:val="none" w:sz="0" w:space="0" w:color="auto"/>
      </w:divBdr>
    </w:div>
    <w:div w:id="1517117610">
      <w:bodyDiv w:val="1"/>
      <w:marLeft w:val="0"/>
      <w:marRight w:val="0"/>
      <w:marTop w:val="0"/>
      <w:marBottom w:val="0"/>
      <w:divBdr>
        <w:top w:val="none" w:sz="0" w:space="0" w:color="auto"/>
        <w:left w:val="none" w:sz="0" w:space="0" w:color="auto"/>
        <w:bottom w:val="none" w:sz="0" w:space="0" w:color="auto"/>
        <w:right w:val="none" w:sz="0" w:space="0" w:color="auto"/>
      </w:divBdr>
    </w:div>
    <w:div w:id="1517696011">
      <w:bodyDiv w:val="1"/>
      <w:marLeft w:val="0"/>
      <w:marRight w:val="0"/>
      <w:marTop w:val="0"/>
      <w:marBottom w:val="0"/>
      <w:divBdr>
        <w:top w:val="none" w:sz="0" w:space="0" w:color="auto"/>
        <w:left w:val="none" w:sz="0" w:space="0" w:color="auto"/>
        <w:bottom w:val="none" w:sz="0" w:space="0" w:color="auto"/>
        <w:right w:val="none" w:sz="0" w:space="0" w:color="auto"/>
      </w:divBdr>
    </w:div>
    <w:div w:id="1528713436">
      <w:bodyDiv w:val="1"/>
      <w:marLeft w:val="0"/>
      <w:marRight w:val="0"/>
      <w:marTop w:val="0"/>
      <w:marBottom w:val="0"/>
      <w:divBdr>
        <w:top w:val="none" w:sz="0" w:space="0" w:color="auto"/>
        <w:left w:val="none" w:sz="0" w:space="0" w:color="auto"/>
        <w:bottom w:val="none" w:sz="0" w:space="0" w:color="auto"/>
        <w:right w:val="none" w:sz="0" w:space="0" w:color="auto"/>
      </w:divBdr>
    </w:div>
    <w:div w:id="1529948918">
      <w:bodyDiv w:val="1"/>
      <w:marLeft w:val="0"/>
      <w:marRight w:val="0"/>
      <w:marTop w:val="0"/>
      <w:marBottom w:val="0"/>
      <w:divBdr>
        <w:top w:val="none" w:sz="0" w:space="0" w:color="auto"/>
        <w:left w:val="none" w:sz="0" w:space="0" w:color="auto"/>
        <w:bottom w:val="none" w:sz="0" w:space="0" w:color="auto"/>
        <w:right w:val="none" w:sz="0" w:space="0" w:color="auto"/>
      </w:divBdr>
    </w:div>
    <w:div w:id="1538589885">
      <w:bodyDiv w:val="1"/>
      <w:marLeft w:val="0"/>
      <w:marRight w:val="0"/>
      <w:marTop w:val="0"/>
      <w:marBottom w:val="0"/>
      <w:divBdr>
        <w:top w:val="none" w:sz="0" w:space="0" w:color="auto"/>
        <w:left w:val="none" w:sz="0" w:space="0" w:color="auto"/>
        <w:bottom w:val="none" w:sz="0" w:space="0" w:color="auto"/>
        <w:right w:val="none" w:sz="0" w:space="0" w:color="auto"/>
      </w:divBdr>
    </w:div>
    <w:div w:id="1545601639">
      <w:bodyDiv w:val="1"/>
      <w:marLeft w:val="0"/>
      <w:marRight w:val="0"/>
      <w:marTop w:val="0"/>
      <w:marBottom w:val="0"/>
      <w:divBdr>
        <w:top w:val="none" w:sz="0" w:space="0" w:color="auto"/>
        <w:left w:val="none" w:sz="0" w:space="0" w:color="auto"/>
        <w:bottom w:val="none" w:sz="0" w:space="0" w:color="auto"/>
        <w:right w:val="none" w:sz="0" w:space="0" w:color="auto"/>
      </w:divBdr>
    </w:div>
    <w:div w:id="1562864364">
      <w:bodyDiv w:val="1"/>
      <w:marLeft w:val="0"/>
      <w:marRight w:val="0"/>
      <w:marTop w:val="0"/>
      <w:marBottom w:val="0"/>
      <w:divBdr>
        <w:top w:val="none" w:sz="0" w:space="0" w:color="auto"/>
        <w:left w:val="none" w:sz="0" w:space="0" w:color="auto"/>
        <w:bottom w:val="none" w:sz="0" w:space="0" w:color="auto"/>
        <w:right w:val="none" w:sz="0" w:space="0" w:color="auto"/>
      </w:divBdr>
    </w:div>
    <w:div w:id="1566916678">
      <w:bodyDiv w:val="1"/>
      <w:marLeft w:val="0"/>
      <w:marRight w:val="0"/>
      <w:marTop w:val="0"/>
      <w:marBottom w:val="0"/>
      <w:divBdr>
        <w:top w:val="none" w:sz="0" w:space="0" w:color="auto"/>
        <w:left w:val="none" w:sz="0" w:space="0" w:color="auto"/>
        <w:bottom w:val="none" w:sz="0" w:space="0" w:color="auto"/>
        <w:right w:val="none" w:sz="0" w:space="0" w:color="auto"/>
      </w:divBdr>
    </w:div>
    <w:div w:id="1569462343">
      <w:bodyDiv w:val="1"/>
      <w:marLeft w:val="0"/>
      <w:marRight w:val="0"/>
      <w:marTop w:val="0"/>
      <w:marBottom w:val="0"/>
      <w:divBdr>
        <w:top w:val="none" w:sz="0" w:space="0" w:color="auto"/>
        <w:left w:val="none" w:sz="0" w:space="0" w:color="auto"/>
        <w:bottom w:val="none" w:sz="0" w:space="0" w:color="auto"/>
        <w:right w:val="none" w:sz="0" w:space="0" w:color="auto"/>
      </w:divBdr>
    </w:div>
    <w:div w:id="1572500486">
      <w:bodyDiv w:val="1"/>
      <w:marLeft w:val="0"/>
      <w:marRight w:val="0"/>
      <w:marTop w:val="0"/>
      <w:marBottom w:val="0"/>
      <w:divBdr>
        <w:top w:val="none" w:sz="0" w:space="0" w:color="auto"/>
        <w:left w:val="none" w:sz="0" w:space="0" w:color="auto"/>
        <w:bottom w:val="none" w:sz="0" w:space="0" w:color="auto"/>
        <w:right w:val="none" w:sz="0" w:space="0" w:color="auto"/>
      </w:divBdr>
    </w:div>
    <w:div w:id="1586304919">
      <w:bodyDiv w:val="1"/>
      <w:marLeft w:val="0"/>
      <w:marRight w:val="0"/>
      <w:marTop w:val="0"/>
      <w:marBottom w:val="0"/>
      <w:divBdr>
        <w:top w:val="none" w:sz="0" w:space="0" w:color="auto"/>
        <w:left w:val="none" w:sz="0" w:space="0" w:color="auto"/>
        <w:bottom w:val="none" w:sz="0" w:space="0" w:color="auto"/>
        <w:right w:val="none" w:sz="0" w:space="0" w:color="auto"/>
      </w:divBdr>
    </w:div>
    <w:div w:id="1590626519">
      <w:bodyDiv w:val="1"/>
      <w:marLeft w:val="0"/>
      <w:marRight w:val="0"/>
      <w:marTop w:val="0"/>
      <w:marBottom w:val="0"/>
      <w:divBdr>
        <w:top w:val="none" w:sz="0" w:space="0" w:color="auto"/>
        <w:left w:val="none" w:sz="0" w:space="0" w:color="auto"/>
        <w:bottom w:val="none" w:sz="0" w:space="0" w:color="auto"/>
        <w:right w:val="none" w:sz="0" w:space="0" w:color="auto"/>
      </w:divBdr>
    </w:div>
    <w:div w:id="1591233985">
      <w:bodyDiv w:val="1"/>
      <w:marLeft w:val="0"/>
      <w:marRight w:val="0"/>
      <w:marTop w:val="0"/>
      <w:marBottom w:val="0"/>
      <w:divBdr>
        <w:top w:val="none" w:sz="0" w:space="0" w:color="auto"/>
        <w:left w:val="none" w:sz="0" w:space="0" w:color="auto"/>
        <w:bottom w:val="none" w:sz="0" w:space="0" w:color="auto"/>
        <w:right w:val="none" w:sz="0" w:space="0" w:color="auto"/>
      </w:divBdr>
    </w:div>
    <w:div w:id="1606813888">
      <w:bodyDiv w:val="1"/>
      <w:marLeft w:val="0"/>
      <w:marRight w:val="0"/>
      <w:marTop w:val="0"/>
      <w:marBottom w:val="0"/>
      <w:divBdr>
        <w:top w:val="none" w:sz="0" w:space="0" w:color="auto"/>
        <w:left w:val="none" w:sz="0" w:space="0" w:color="auto"/>
        <w:bottom w:val="none" w:sz="0" w:space="0" w:color="auto"/>
        <w:right w:val="none" w:sz="0" w:space="0" w:color="auto"/>
      </w:divBdr>
    </w:div>
    <w:div w:id="1615669744">
      <w:bodyDiv w:val="1"/>
      <w:marLeft w:val="0"/>
      <w:marRight w:val="0"/>
      <w:marTop w:val="0"/>
      <w:marBottom w:val="0"/>
      <w:divBdr>
        <w:top w:val="none" w:sz="0" w:space="0" w:color="auto"/>
        <w:left w:val="none" w:sz="0" w:space="0" w:color="auto"/>
        <w:bottom w:val="none" w:sz="0" w:space="0" w:color="auto"/>
        <w:right w:val="none" w:sz="0" w:space="0" w:color="auto"/>
      </w:divBdr>
    </w:div>
    <w:div w:id="1643391513">
      <w:bodyDiv w:val="1"/>
      <w:marLeft w:val="0"/>
      <w:marRight w:val="0"/>
      <w:marTop w:val="0"/>
      <w:marBottom w:val="0"/>
      <w:divBdr>
        <w:top w:val="none" w:sz="0" w:space="0" w:color="auto"/>
        <w:left w:val="none" w:sz="0" w:space="0" w:color="auto"/>
        <w:bottom w:val="none" w:sz="0" w:space="0" w:color="auto"/>
        <w:right w:val="none" w:sz="0" w:space="0" w:color="auto"/>
      </w:divBdr>
    </w:div>
    <w:div w:id="1664427069">
      <w:bodyDiv w:val="1"/>
      <w:marLeft w:val="0"/>
      <w:marRight w:val="0"/>
      <w:marTop w:val="0"/>
      <w:marBottom w:val="0"/>
      <w:divBdr>
        <w:top w:val="none" w:sz="0" w:space="0" w:color="auto"/>
        <w:left w:val="none" w:sz="0" w:space="0" w:color="auto"/>
        <w:bottom w:val="none" w:sz="0" w:space="0" w:color="auto"/>
        <w:right w:val="none" w:sz="0" w:space="0" w:color="auto"/>
      </w:divBdr>
    </w:div>
    <w:div w:id="1699820430">
      <w:bodyDiv w:val="1"/>
      <w:marLeft w:val="0"/>
      <w:marRight w:val="0"/>
      <w:marTop w:val="0"/>
      <w:marBottom w:val="0"/>
      <w:divBdr>
        <w:top w:val="none" w:sz="0" w:space="0" w:color="auto"/>
        <w:left w:val="none" w:sz="0" w:space="0" w:color="auto"/>
        <w:bottom w:val="none" w:sz="0" w:space="0" w:color="auto"/>
        <w:right w:val="none" w:sz="0" w:space="0" w:color="auto"/>
      </w:divBdr>
    </w:div>
    <w:div w:id="1699964840">
      <w:bodyDiv w:val="1"/>
      <w:marLeft w:val="0"/>
      <w:marRight w:val="0"/>
      <w:marTop w:val="0"/>
      <w:marBottom w:val="0"/>
      <w:divBdr>
        <w:top w:val="none" w:sz="0" w:space="0" w:color="auto"/>
        <w:left w:val="none" w:sz="0" w:space="0" w:color="auto"/>
        <w:bottom w:val="none" w:sz="0" w:space="0" w:color="auto"/>
        <w:right w:val="none" w:sz="0" w:space="0" w:color="auto"/>
      </w:divBdr>
    </w:div>
    <w:div w:id="1700202390">
      <w:bodyDiv w:val="1"/>
      <w:marLeft w:val="0"/>
      <w:marRight w:val="0"/>
      <w:marTop w:val="0"/>
      <w:marBottom w:val="0"/>
      <w:divBdr>
        <w:top w:val="none" w:sz="0" w:space="0" w:color="auto"/>
        <w:left w:val="none" w:sz="0" w:space="0" w:color="auto"/>
        <w:bottom w:val="none" w:sz="0" w:space="0" w:color="auto"/>
        <w:right w:val="none" w:sz="0" w:space="0" w:color="auto"/>
      </w:divBdr>
    </w:div>
    <w:div w:id="1700468588">
      <w:bodyDiv w:val="1"/>
      <w:marLeft w:val="0"/>
      <w:marRight w:val="0"/>
      <w:marTop w:val="0"/>
      <w:marBottom w:val="0"/>
      <w:divBdr>
        <w:top w:val="none" w:sz="0" w:space="0" w:color="auto"/>
        <w:left w:val="none" w:sz="0" w:space="0" w:color="auto"/>
        <w:bottom w:val="none" w:sz="0" w:space="0" w:color="auto"/>
        <w:right w:val="none" w:sz="0" w:space="0" w:color="auto"/>
      </w:divBdr>
    </w:div>
    <w:div w:id="1707871103">
      <w:bodyDiv w:val="1"/>
      <w:marLeft w:val="0"/>
      <w:marRight w:val="0"/>
      <w:marTop w:val="0"/>
      <w:marBottom w:val="0"/>
      <w:divBdr>
        <w:top w:val="none" w:sz="0" w:space="0" w:color="auto"/>
        <w:left w:val="none" w:sz="0" w:space="0" w:color="auto"/>
        <w:bottom w:val="none" w:sz="0" w:space="0" w:color="auto"/>
        <w:right w:val="none" w:sz="0" w:space="0" w:color="auto"/>
      </w:divBdr>
    </w:div>
    <w:div w:id="1719012924">
      <w:bodyDiv w:val="1"/>
      <w:marLeft w:val="0"/>
      <w:marRight w:val="0"/>
      <w:marTop w:val="0"/>
      <w:marBottom w:val="0"/>
      <w:divBdr>
        <w:top w:val="none" w:sz="0" w:space="0" w:color="auto"/>
        <w:left w:val="none" w:sz="0" w:space="0" w:color="auto"/>
        <w:bottom w:val="none" w:sz="0" w:space="0" w:color="auto"/>
        <w:right w:val="none" w:sz="0" w:space="0" w:color="auto"/>
      </w:divBdr>
    </w:div>
    <w:div w:id="1729112830">
      <w:bodyDiv w:val="1"/>
      <w:marLeft w:val="0"/>
      <w:marRight w:val="0"/>
      <w:marTop w:val="0"/>
      <w:marBottom w:val="0"/>
      <w:divBdr>
        <w:top w:val="none" w:sz="0" w:space="0" w:color="auto"/>
        <w:left w:val="none" w:sz="0" w:space="0" w:color="auto"/>
        <w:bottom w:val="none" w:sz="0" w:space="0" w:color="auto"/>
        <w:right w:val="none" w:sz="0" w:space="0" w:color="auto"/>
      </w:divBdr>
    </w:div>
    <w:div w:id="1744446646">
      <w:bodyDiv w:val="1"/>
      <w:marLeft w:val="0"/>
      <w:marRight w:val="0"/>
      <w:marTop w:val="0"/>
      <w:marBottom w:val="0"/>
      <w:divBdr>
        <w:top w:val="none" w:sz="0" w:space="0" w:color="auto"/>
        <w:left w:val="none" w:sz="0" w:space="0" w:color="auto"/>
        <w:bottom w:val="none" w:sz="0" w:space="0" w:color="auto"/>
        <w:right w:val="none" w:sz="0" w:space="0" w:color="auto"/>
      </w:divBdr>
    </w:div>
    <w:div w:id="1767653898">
      <w:bodyDiv w:val="1"/>
      <w:marLeft w:val="0"/>
      <w:marRight w:val="0"/>
      <w:marTop w:val="0"/>
      <w:marBottom w:val="0"/>
      <w:divBdr>
        <w:top w:val="none" w:sz="0" w:space="0" w:color="auto"/>
        <w:left w:val="none" w:sz="0" w:space="0" w:color="auto"/>
        <w:bottom w:val="none" w:sz="0" w:space="0" w:color="auto"/>
        <w:right w:val="none" w:sz="0" w:space="0" w:color="auto"/>
      </w:divBdr>
    </w:div>
    <w:div w:id="1770732628">
      <w:bodyDiv w:val="1"/>
      <w:marLeft w:val="0"/>
      <w:marRight w:val="0"/>
      <w:marTop w:val="0"/>
      <w:marBottom w:val="0"/>
      <w:divBdr>
        <w:top w:val="none" w:sz="0" w:space="0" w:color="auto"/>
        <w:left w:val="none" w:sz="0" w:space="0" w:color="auto"/>
        <w:bottom w:val="none" w:sz="0" w:space="0" w:color="auto"/>
        <w:right w:val="none" w:sz="0" w:space="0" w:color="auto"/>
      </w:divBdr>
    </w:div>
    <w:div w:id="1785148841">
      <w:bodyDiv w:val="1"/>
      <w:marLeft w:val="0"/>
      <w:marRight w:val="0"/>
      <w:marTop w:val="0"/>
      <w:marBottom w:val="0"/>
      <w:divBdr>
        <w:top w:val="none" w:sz="0" w:space="0" w:color="auto"/>
        <w:left w:val="none" w:sz="0" w:space="0" w:color="auto"/>
        <w:bottom w:val="none" w:sz="0" w:space="0" w:color="auto"/>
        <w:right w:val="none" w:sz="0" w:space="0" w:color="auto"/>
      </w:divBdr>
    </w:div>
    <w:div w:id="1791511191">
      <w:bodyDiv w:val="1"/>
      <w:marLeft w:val="0"/>
      <w:marRight w:val="0"/>
      <w:marTop w:val="0"/>
      <w:marBottom w:val="0"/>
      <w:divBdr>
        <w:top w:val="none" w:sz="0" w:space="0" w:color="auto"/>
        <w:left w:val="none" w:sz="0" w:space="0" w:color="auto"/>
        <w:bottom w:val="none" w:sz="0" w:space="0" w:color="auto"/>
        <w:right w:val="none" w:sz="0" w:space="0" w:color="auto"/>
      </w:divBdr>
    </w:div>
    <w:div w:id="1796875255">
      <w:bodyDiv w:val="1"/>
      <w:marLeft w:val="0"/>
      <w:marRight w:val="0"/>
      <w:marTop w:val="0"/>
      <w:marBottom w:val="0"/>
      <w:divBdr>
        <w:top w:val="none" w:sz="0" w:space="0" w:color="auto"/>
        <w:left w:val="none" w:sz="0" w:space="0" w:color="auto"/>
        <w:bottom w:val="none" w:sz="0" w:space="0" w:color="auto"/>
        <w:right w:val="none" w:sz="0" w:space="0" w:color="auto"/>
      </w:divBdr>
    </w:div>
    <w:div w:id="1813978423">
      <w:bodyDiv w:val="1"/>
      <w:marLeft w:val="0"/>
      <w:marRight w:val="0"/>
      <w:marTop w:val="0"/>
      <w:marBottom w:val="0"/>
      <w:divBdr>
        <w:top w:val="none" w:sz="0" w:space="0" w:color="auto"/>
        <w:left w:val="none" w:sz="0" w:space="0" w:color="auto"/>
        <w:bottom w:val="none" w:sz="0" w:space="0" w:color="auto"/>
        <w:right w:val="none" w:sz="0" w:space="0" w:color="auto"/>
      </w:divBdr>
    </w:div>
    <w:div w:id="1844516209">
      <w:bodyDiv w:val="1"/>
      <w:marLeft w:val="0"/>
      <w:marRight w:val="0"/>
      <w:marTop w:val="0"/>
      <w:marBottom w:val="0"/>
      <w:divBdr>
        <w:top w:val="none" w:sz="0" w:space="0" w:color="auto"/>
        <w:left w:val="none" w:sz="0" w:space="0" w:color="auto"/>
        <w:bottom w:val="none" w:sz="0" w:space="0" w:color="auto"/>
        <w:right w:val="none" w:sz="0" w:space="0" w:color="auto"/>
      </w:divBdr>
    </w:div>
    <w:div w:id="1845391163">
      <w:bodyDiv w:val="1"/>
      <w:marLeft w:val="0"/>
      <w:marRight w:val="0"/>
      <w:marTop w:val="0"/>
      <w:marBottom w:val="0"/>
      <w:divBdr>
        <w:top w:val="none" w:sz="0" w:space="0" w:color="auto"/>
        <w:left w:val="none" w:sz="0" w:space="0" w:color="auto"/>
        <w:bottom w:val="none" w:sz="0" w:space="0" w:color="auto"/>
        <w:right w:val="none" w:sz="0" w:space="0" w:color="auto"/>
      </w:divBdr>
    </w:div>
    <w:div w:id="1851331337">
      <w:bodyDiv w:val="1"/>
      <w:marLeft w:val="0"/>
      <w:marRight w:val="0"/>
      <w:marTop w:val="0"/>
      <w:marBottom w:val="0"/>
      <w:divBdr>
        <w:top w:val="none" w:sz="0" w:space="0" w:color="auto"/>
        <w:left w:val="none" w:sz="0" w:space="0" w:color="auto"/>
        <w:bottom w:val="none" w:sz="0" w:space="0" w:color="auto"/>
        <w:right w:val="none" w:sz="0" w:space="0" w:color="auto"/>
      </w:divBdr>
    </w:div>
    <w:div w:id="1851528361">
      <w:bodyDiv w:val="1"/>
      <w:marLeft w:val="0"/>
      <w:marRight w:val="0"/>
      <w:marTop w:val="0"/>
      <w:marBottom w:val="0"/>
      <w:divBdr>
        <w:top w:val="none" w:sz="0" w:space="0" w:color="auto"/>
        <w:left w:val="none" w:sz="0" w:space="0" w:color="auto"/>
        <w:bottom w:val="none" w:sz="0" w:space="0" w:color="auto"/>
        <w:right w:val="none" w:sz="0" w:space="0" w:color="auto"/>
      </w:divBdr>
    </w:div>
    <w:div w:id="1880775292">
      <w:bodyDiv w:val="1"/>
      <w:marLeft w:val="0"/>
      <w:marRight w:val="0"/>
      <w:marTop w:val="0"/>
      <w:marBottom w:val="0"/>
      <w:divBdr>
        <w:top w:val="none" w:sz="0" w:space="0" w:color="auto"/>
        <w:left w:val="none" w:sz="0" w:space="0" w:color="auto"/>
        <w:bottom w:val="none" w:sz="0" w:space="0" w:color="auto"/>
        <w:right w:val="none" w:sz="0" w:space="0" w:color="auto"/>
      </w:divBdr>
    </w:div>
    <w:div w:id="1888564476">
      <w:bodyDiv w:val="1"/>
      <w:marLeft w:val="0"/>
      <w:marRight w:val="0"/>
      <w:marTop w:val="0"/>
      <w:marBottom w:val="0"/>
      <w:divBdr>
        <w:top w:val="none" w:sz="0" w:space="0" w:color="auto"/>
        <w:left w:val="none" w:sz="0" w:space="0" w:color="auto"/>
        <w:bottom w:val="none" w:sz="0" w:space="0" w:color="auto"/>
        <w:right w:val="none" w:sz="0" w:space="0" w:color="auto"/>
      </w:divBdr>
    </w:div>
    <w:div w:id="1895698026">
      <w:bodyDiv w:val="1"/>
      <w:marLeft w:val="0"/>
      <w:marRight w:val="0"/>
      <w:marTop w:val="0"/>
      <w:marBottom w:val="0"/>
      <w:divBdr>
        <w:top w:val="none" w:sz="0" w:space="0" w:color="auto"/>
        <w:left w:val="none" w:sz="0" w:space="0" w:color="auto"/>
        <w:bottom w:val="none" w:sz="0" w:space="0" w:color="auto"/>
        <w:right w:val="none" w:sz="0" w:space="0" w:color="auto"/>
      </w:divBdr>
    </w:div>
    <w:div w:id="1899047606">
      <w:bodyDiv w:val="1"/>
      <w:marLeft w:val="0"/>
      <w:marRight w:val="0"/>
      <w:marTop w:val="0"/>
      <w:marBottom w:val="0"/>
      <w:divBdr>
        <w:top w:val="none" w:sz="0" w:space="0" w:color="auto"/>
        <w:left w:val="none" w:sz="0" w:space="0" w:color="auto"/>
        <w:bottom w:val="none" w:sz="0" w:space="0" w:color="auto"/>
        <w:right w:val="none" w:sz="0" w:space="0" w:color="auto"/>
      </w:divBdr>
    </w:div>
    <w:div w:id="1916434040">
      <w:bodyDiv w:val="1"/>
      <w:marLeft w:val="0"/>
      <w:marRight w:val="0"/>
      <w:marTop w:val="0"/>
      <w:marBottom w:val="0"/>
      <w:divBdr>
        <w:top w:val="none" w:sz="0" w:space="0" w:color="auto"/>
        <w:left w:val="none" w:sz="0" w:space="0" w:color="auto"/>
        <w:bottom w:val="none" w:sz="0" w:space="0" w:color="auto"/>
        <w:right w:val="none" w:sz="0" w:space="0" w:color="auto"/>
      </w:divBdr>
    </w:div>
    <w:div w:id="1934512034">
      <w:bodyDiv w:val="1"/>
      <w:marLeft w:val="0"/>
      <w:marRight w:val="0"/>
      <w:marTop w:val="0"/>
      <w:marBottom w:val="0"/>
      <w:divBdr>
        <w:top w:val="none" w:sz="0" w:space="0" w:color="auto"/>
        <w:left w:val="none" w:sz="0" w:space="0" w:color="auto"/>
        <w:bottom w:val="none" w:sz="0" w:space="0" w:color="auto"/>
        <w:right w:val="none" w:sz="0" w:space="0" w:color="auto"/>
      </w:divBdr>
    </w:div>
    <w:div w:id="1937514765">
      <w:bodyDiv w:val="1"/>
      <w:marLeft w:val="0"/>
      <w:marRight w:val="0"/>
      <w:marTop w:val="0"/>
      <w:marBottom w:val="0"/>
      <w:divBdr>
        <w:top w:val="none" w:sz="0" w:space="0" w:color="auto"/>
        <w:left w:val="none" w:sz="0" w:space="0" w:color="auto"/>
        <w:bottom w:val="none" w:sz="0" w:space="0" w:color="auto"/>
        <w:right w:val="none" w:sz="0" w:space="0" w:color="auto"/>
      </w:divBdr>
    </w:div>
    <w:div w:id="1941838036">
      <w:bodyDiv w:val="1"/>
      <w:marLeft w:val="0"/>
      <w:marRight w:val="0"/>
      <w:marTop w:val="0"/>
      <w:marBottom w:val="0"/>
      <w:divBdr>
        <w:top w:val="none" w:sz="0" w:space="0" w:color="auto"/>
        <w:left w:val="none" w:sz="0" w:space="0" w:color="auto"/>
        <w:bottom w:val="none" w:sz="0" w:space="0" w:color="auto"/>
        <w:right w:val="none" w:sz="0" w:space="0" w:color="auto"/>
      </w:divBdr>
    </w:div>
    <w:div w:id="1946427191">
      <w:bodyDiv w:val="1"/>
      <w:marLeft w:val="0"/>
      <w:marRight w:val="0"/>
      <w:marTop w:val="0"/>
      <w:marBottom w:val="0"/>
      <w:divBdr>
        <w:top w:val="none" w:sz="0" w:space="0" w:color="auto"/>
        <w:left w:val="none" w:sz="0" w:space="0" w:color="auto"/>
        <w:bottom w:val="none" w:sz="0" w:space="0" w:color="auto"/>
        <w:right w:val="none" w:sz="0" w:space="0" w:color="auto"/>
      </w:divBdr>
    </w:div>
    <w:div w:id="1958754298">
      <w:bodyDiv w:val="1"/>
      <w:marLeft w:val="0"/>
      <w:marRight w:val="0"/>
      <w:marTop w:val="0"/>
      <w:marBottom w:val="0"/>
      <w:divBdr>
        <w:top w:val="none" w:sz="0" w:space="0" w:color="auto"/>
        <w:left w:val="none" w:sz="0" w:space="0" w:color="auto"/>
        <w:bottom w:val="none" w:sz="0" w:space="0" w:color="auto"/>
        <w:right w:val="none" w:sz="0" w:space="0" w:color="auto"/>
      </w:divBdr>
    </w:div>
    <w:div w:id="1960650127">
      <w:bodyDiv w:val="1"/>
      <w:marLeft w:val="0"/>
      <w:marRight w:val="0"/>
      <w:marTop w:val="0"/>
      <w:marBottom w:val="0"/>
      <w:divBdr>
        <w:top w:val="none" w:sz="0" w:space="0" w:color="auto"/>
        <w:left w:val="none" w:sz="0" w:space="0" w:color="auto"/>
        <w:bottom w:val="none" w:sz="0" w:space="0" w:color="auto"/>
        <w:right w:val="none" w:sz="0" w:space="0" w:color="auto"/>
      </w:divBdr>
    </w:div>
    <w:div w:id="1964381406">
      <w:bodyDiv w:val="1"/>
      <w:marLeft w:val="0"/>
      <w:marRight w:val="0"/>
      <w:marTop w:val="0"/>
      <w:marBottom w:val="0"/>
      <w:divBdr>
        <w:top w:val="none" w:sz="0" w:space="0" w:color="auto"/>
        <w:left w:val="none" w:sz="0" w:space="0" w:color="auto"/>
        <w:bottom w:val="none" w:sz="0" w:space="0" w:color="auto"/>
        <w:right w:val="none" w:sz="0" w:space="0" w:color="auto"/>
      </w:divBdr>
    </w:div>
    <w:div w:id="1975670523">
      <w:bodyDiv w:val="1"/>
      <w:marLeft w:val="0"/>
      <w:marRight w:val="0"/>
      <w:marTop w:val="0"/>
      <w:marBottom w:val="0"/>
      <w:divBdr>
        <w:top w:val="none" w:sz="0" w:space="0" w:color="auto"/>
        <w:left w:val="none" w:sz="0" w:space="0" w:color="auto"/>
        <w:bottom w:val="none" w:sz="0" w:space="0" w:color="auto"/>
        <w:right w:val="none" w:sz="0" w:space="0" w:color="auto"/>
      </w:divBdr>
    </w:div>
    <w:div w:id="1992899697">
      <w:bodyDiv w:val="1"/>
      <w:marLeft w:val="0"/>
      <w:marRight w:val="0"/>
      <w:marTop w:val="0"/>
      <w:marBottom w:val="0"/>
      <w:divBdr>
        <w:top w:val="none" w:sz="0" w:space="0" w:color="auto"/>
        <w:left w:val="none" w:sz="0" w:space="0" w:color="auto"/>
        <w:bottom w:val="none" w:sz="0" w:space="0" w:color="auto"/>
        <w:right w:val="none" w:sz="0" w:space="0" w:color="auto"/>
      </w:divBdr>
    </w:div>
    <w:div w:id="2007855902">
      <w:bodyDiv w:val="1"/>
      <w:marLeft w:val="0"/>
      <w:marRight w:val="0"/>
      <w:marTop w:val="0"/>
      <w:marBottom w:val="0"/>
      <w:divBdr>
        <w:top w:val="none" w:sz="0" w:space="0" w:color="auto"/>
        <w:left w:val="none" w:sz="0" w:space="0" w:color="auto"/>
        <w:bottom w:val="none" w:sz="0" w:space="0" w:color="auto"/>
        <w:right w:val="none" w:sz="0" w:space="0" w:color="auto"/>
      </w:divBdr>
    </w:div>
    <w:div w:id="2008511260">
      <w:bodyDiv w:val="1"/>
      <w:marLeft w:val="0"/>
      <w:marRight w:val="0"/>
      <w:marTop w:val="0"/>
      <w:marBottom w:val="0"/>
      <w:divBdr>
        <w:top w:val="none" w:sz="0" w:space="0" w:color="auto"/>
        <w:left w:val="none" w:sz="0" w:space="0" w:color="auto"/>
        <w:bottom w:val="none" w:sz="0" w:space="0" w:color="auto"/>
        <w:right w:val="none" w:sz="0" w:space="0" w:color="auto"/>
      </w:divBdr>
    </w:div>
    <w:div w:id="2015259168">
      <w:bodyDiv w:val="1"/>
      <w:marLeft w:val="0"/>
      <w:marRight w:val="0"/>
      <w:marTop w:val="0"/>
      <w:marBottom w:val="0"/>
      <w:divBdr>
        <w:top w:val="none" w:sz="0" w:space="0" w:color="auto"/>
        <w:left w:val="none" w:sz="0" w:space="0" w:color="auto"/>
        <w:bottom w:val="none" w:sz="0" w:space="0" w:color="auto"/>
        <w:right w:val="none" w:sz="0" w:space="0" w:color="auto"/>
      </w:divBdr>
    </w:div>
    <w:div w:id="2044866679">
      <w:bodyDiv w:val="1"/>
      <w:marLeft w:val="0"/>
      <w:marRight w:val="0"/>
      <w:marTop w:val="0"/>
      <w:marBottom w:val="0"/>
      <w:divBdr>
        <w:top w:val="none" w:sz="0" w:space="0" w:color="auto"/>
        <w:left w:val="none" w:sz="0" w:space="0" w:color="auto"/>
        <w:bottom w:val="none" w:sz="0" w:space="0" w:color="auto"/>
        <w:right w:val="none" w:sz="0" w:space="0" w:color="auto"/>
      </w:divBdr>
    </w:div>
    <w:div w:id="2045984190">
      <w:bodyDiv w:val="1"/>
      <w:marLeft w:val="0"/>
      <w:marRight w:val="0"/>
      <w:marTop w:val="0"/>
      <w:marBottom w:val="0"/>
      <w:divBdr>
        <w:top w:val="none" w:sz="0" w:space="0" w:color="auto"/>
        <w:left w:val="none" w:sz="0" w:space="0" w:color="auto"/>
        <w:bottom w:val="none" w:sz="0" w:space="0" w:color="auto"/>
        <w:right w:val="none" w:sz="0" w:space="0" w:color="auto"/>
      </w:divBdr>
    </w:div>
    <w:div w:id="2066640089">
      <w:bodyDiv w:val="1"/>
      <w:marLeft w:val="0"/>
      <w:marRight w:val="0"/>
      <w:marTop w:val="0"/>
      <w:marBottom w:val="0"/>
      <w:divBdr>
        <w:top w:val="none" w:sz="0" w:space="0" w:color="auto"/>
        <w:left w:val="none" w:sz="0" w:space="0" w:color="auto"/>
        <w:bottom w:val="none" w:sz="0" w:space="0" w:color="auto"/>
        <w:right w:val="none" w:sz="0" w:space="0" w:color="auto"/>
      </w:divBdr>
    </w:div>
    <w:div w:id="2069760064">
      <w:bodyDiv w:val="1"/>
      <w:marLeft w:val="0"/>
      <w:marRight w:val="0"/>
      <w:marTop w:val="0"/>
      <w:marBottom w:val="0"/>
      <w:divBdr>
        <w:top w:val="none" w:sz="0" w:space="0" w:color="auto"/>
        <w:left w:val="none" w:sz="0" w:space="0" w:color="auto"/>
        <w:bottom w:val="none" w:sz="0" w:space="0" w:color="auto"/>
        <w:right w:val="none" w:sz="0" w:space="0" w:color="auto"/>
      </w:divBdr>
    </w:div>
    <w:div w:id="2094469761">
      <w:bodyDiv w:val="1"/>
      <w:marLeft w:val="0"/>
      <w:marRight w:val="0"/>
      <w:marTop w:val="0"/>
      <w:marBottom w:val="0"/>
      <w:divBdr>
        <w:top w:val="none" w:sz="0" w:space="0" w:color="auto"/>
        <w:left w:val="none" w:sz="0" w:space="0" w:color="auto"/>
        <w:bottom w:val="none" w:sz="0" w:space="0" w:color="auto"/>
        <w:right w:val="none" w:sz="0" w:space="0" w:color="auto"/>
      </w:divBdr>
    </w:div>
    <w:div w:id="2100633601">
      <w:bodyDiv w:val="1"/>
      <w:marLeft w:val="0"/>
      <w:marRight w:val="0"/>
      <w:marTop w:val="0"/>
      <w:marBottom w:val="0"/>
      <w:divBdr>
        <w:top w:val="none" w:sz="0" w:space="0" w:color="auto"/>
        <w:left w:val="none" w:sz="0" w:space="0" w:color="auto"/>
        <w:bottom w:val="none" w:sz="0" w:space="0" w:color="auto"/>
        <w:right w:val="none" w:sz="0" w:space="0" w:color="auto"/>
      </w:divBdr>
    </w:div>
    <w:div w:id="2107574144">
      <w:bodyDiv w:val="1"/>
      <w:marLeft w:val="0"/>
      <w:marRight w:val="0"/>
      <w:marTop w:val="0"/>
      <w:marBottom w:val="0"/>
      <w:divBdr>
        <w:top w:val="none" w:sz="0" w:space="0" w:color="auto"/>
        <w:left w:val="none" w:sz="0" w:space="0" w:color="auto"/>
        <w:bottom w:val="none" w:sz="0" w:space="0" w:color="auto"/>
        <w:right w:val="none" w:sz="0" w:space="0" w:color="auto"/>
      </w:divBdr>
    </w:div>
    <w:div w:id="2117868453">
      <w:bodyDiv w:val="1"/>
      <w:marLeft w:val="0"/>
      <w:marRight w:val="0"/>
      <w:marTop w:val="0"/>
      <w:marBottom w:val="0"/>
      <w:divBdr>
        <w:top w:val="none" w:sz="0" w:space="0" w:color="auto"/>
        <w:left w:val="none" w:sz="0" w:space="0" w:color="auto"/>
        <w:bottom w:val="none" w:sz="0" w:space="0" w:color="auto"/>
        <w:right w:val="none" w:sz="0" w:space="0" w:color="auto"/>
      </w:divBdr>
    </w:div>
    <w:div w:id="2122021670">
      <w:bodyDiv w:val="1"/>
      <w:marLeft w:val="0"/>
      <w:marRight w:val="0"/>
      <w:marTop w:val="0"/>
      <w:marBottom w:val="0"/>
      <w:divBdr>
        <w:top w:val="none" w:sz="0" w:space="0" w:color="auto"/>
        <w:left w:val="none" w:sz="0" w:space="0" w:color="auto"/>
        <w:bottom w:val="none" w:sz="0" w:space="0" w:color="auto"/>
        <w:right w:val="none" w:sz="0" w:space="0" w:color="auto"/>
      </w:divBdr>
    </w:div>
    <w:div w:id="2134471242">
      <w:bodyDiv w:val="1"/>
      <w:marLeft w:val="0"/>
      <w:marRight w:val="0"/>
      <w:marTop w:val="0"/>
      <w:marBottom w:val="0"/>
      <w:divBdr>
        <w:top w:val="none" w:sz="0" w:space="0" w:color="auto"/>
        <w:left w:val="none" w:sz="0" w:space="0" w:color="auto"/>
        <w:bottom w:val="none" w:sz="0" w:space="0" w:color="auto"/>
        <w:right w:val="none" w:sz="0" w:space="0" w:color="auto"/>
      </w:divBdr>
    </w:div>
    <w:div w:id="2143184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eader" Target="header7.xml"/><Relationship Id="rId26" Type="http://schemas.openxmlformats.org/officeDocument/2006/relationships/image" Target="media/image11.png"/><Relationship Id="rId39" Type="http://schemas.openxmlformats.org/officeDocument/2006/relationships/theme" Target="theme/theme1.xml"/><Relationship Id="rId21" Type="http://schemas.openxmlformats.org/officeDocument/2006/relationships/header" Target="header9.xml"/><Relationship Id="rId34" Type="http://schemas.openxmlformats.org/officeDocument/2006/relationships/header" Target="header14.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3.xml"/><Relationship Id="rId29" Type="http://schemas.openxmlformats.org/officeDocument/2006/relationships/header" Target="header10.xml"/><Relationship Id="rId41"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9.png"/><Relationship Id="rId32" Type="http://schemas.openxmlformats.org/officeDocument/2006/relationships/header" Target="header12.xml"/><Relationship Id="rId37" Type="http://schemas.openxmlformats.org/officeDocument/2006/relationships/footer" Target="footer6.xml"/><Relationship Id="rId40"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image" Target="media/image8.png"/><Relationship Id="rId28" Type="http://schemas.openxmlformats.org/officeDocument/2006/relationships/image" Target="media/image13.png"/><Relationship Id="rId36" Type="http://schemas.openxmlformats.org/officeDocument/2006/relationships/header" Target="header15.xml"/><Relationship Id="rId10" Type="http://schemas.openxmlformats.org/officeDocument/2006/relationships/header" Target="header1.xml"/><Relationship Id="rId19" Type="http://schemas.openxmlformats.org/officeDocument/2006/relationships/header" Target="header8.xml"/><Relationship Id="rId31" Type="http://schemas.openxmlformats.org/officeDocument/2006/relationships/footer" Target="footer4.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4.xml"/><Relationship Id="rId22" Type="http://schemas.openxmlformats.org/officeDocument/2006/relationships/image" Target="media/image7.png"/><Relationship Id="rId27" Type="http://schemas.openxmlformats.org/officeDocument/2006/relationships/image" Target="media/image12.png"/><Relationship Id="rId30" Type="http://schemas.openxmlformats.org/officeDocument/2006/relationships/header" Target="header11.xml"/><Relationship Id="rId35" Type="http://schemas.openxmlformats.org/officeDocument/2006/relationships/footer" Target="footer5.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eader" Target="header6.xml"/><Relationship Id="rId25" Type="http://schemas.openxmlformats.org/officeDocument/2006/relationships/image" Target="media/image10.png"/><Relationship Id="rId33" Type="http://schemas.openxmlformats.org/officeDocument/2006/relationships/header" Target="header13.xml"/><Relationship Id="rId38"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footer4.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footer5.xml.rels><?xml version="1.0" encoding="UTF-8" standalone="yes"?>
<Relationships xmlns="http://schemas.openxmlformats.org/package/2006/relationships"><Relationship Id="rId1" Type="http://schemas.openxmlformats.org/officeDocument/2006/relationships/image" Target="media/image14.png"/></Relationships>
</file>

<file path=word/_rels/footer6.xml.rels><?xml version="1.0" encoding="UTF-8" standalone="yes"?>
<Relationships xmlns="http://schemas.openxmlformats.org/package/2006/relationships"><Relationship Id="rId1" Type="http://schemas.openxmlformats.org/officeDocument/2006/relationships/image" Target="media/image15.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10.xml.rels><?xml version="1.0" encoding="UTF-8" standalone="yes"?>
<Relationships xmlns="http://schemas.openxmlformats.org/package/2006/relationships"><Relationship Id="rId1" Type="http://schemas.openxmlformats.org/officeDocument/2006/relationships/image" Target="media/image6.png"/></Relationships>
</file>

<file path=word/_rels/header12.xml.rels><?xml version="1.0" encoding="UTF-8" standalone="yes"?>
<Relationships xmlns="http://schemas.openxmlformats.org/package/2006/relationships"><Relationship Id="rId1" Type="http://schemas.openxmlformats.org/officeDocument/2006/relationships/image" Target="media/image6.png"/></Relationships>
</file>

<file path=word/_rels/header13.xml.rels><?xml version="1.0" encoding="UTF-8" standalone="yes"?>
<Relationships xmlns="http://schemas.openxmlformats.org/package/2006/relationships"><Relationship Id="rId1" Type="http://schemas.openxmlformats.org/officeDocument/2006/relationships/image" Target="media/image3.png"/></Relationships>
</file>

<file path=word/_rels/header14.xml.rels><?xml version="1.0" encoding="UTF-8" standalone="yes"?>
<Relationships xmlns="http://schemas.openxmlformats.org/package/2006/relationships"><Relationship Id="rId1" Type="http://schemas.openxmlformats.org/officeDocument/2006/relationships/image" Target="media/image3.png"/></Relationships>
</file>

<file path=word/_rels/header15.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6.xml.rels><?xml version="1.0" encoding="UTF-8" standalone="yes"?>
<Relationships xmlns="http://schemas.openxmlformats.org/package/2006/relationships"><Relationship Id="rId1" Type="http://schemas.openxmlformats.org/officeDocument/2006/relationships/image" Target="media/image3.png"/></Relationships>
</file>

<file path=word/_rels/header7.xml.rels><?xml version="1.0" encoding="UTF-8" standalone="yes"?>
<Relationships xmlns="http://schemas.openxmlformats.org/package/2006/relationships"><Relationship Id="rId1" Type="http://schemas.openxmlformats.org/officeDocument/2006/relationships/image" Target="media/image6.png"/></Relationships>
</file>

<file path=word/_rels/header9.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Cebr Colours">
      <a:dk1>
        <a:sysClr val="windowText" lastClr="000000"/>
      </a:dk1>
      <a:lt1>
        <a:sysClr val="window" lastClr="FFFFFF"/>
      </a:lt1>
      <a:dk2>
        <a:srgbClr val="008C9B"/>
      </a:dk2>
      <a:lt2>
        <a:srgbClr val="EEECE1"/>
      </a:lt2>
      <a:accent1>
        <a:srgbClr val="008C9B"/>
      </a:accent1>
      <a:accent2>
        <a:srgbClr val="00AEEF"/>
      </a:accent2>
      <a:accent3>
        <a:srgbClr val="6D6E71"/>
      </a:accent3>
      <a:accent4>
        <a:srgbClr val="BCBEC0"/>
      </a:accent4>
      <a:accent5>
        <a:srgbClr val="ED1C24"/>
      </a:accent5>
      <a:accent6>
        <a:srgbClr val="004A53"/>
      </a:accent6>
      <a:hlink>
        <a:srgbClr val="0000FF"/>
      </a:hlink>
      <a:folHlink>
        <a:srgbClr val="800080"/>
      </a:folHlink>
    </a:clrScheme>
    <a:fontScheme name="Composite">
      <a:majorFont>
        <a:latin typeface="Calibri"/>
        <a:ea typeface=""/>
        <a:cs typeface=""/>
        <a:font script="Jpan" typeface="ＭＳ Ｐゴシック"/>
        <a:font script="Hang" typeface="맑은 고딕"/>
        <a:font script="Hans" typeface="宋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w="6350">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8C40E3CD2BD8846B0860B49090725FF" ma:contentTypeVersion="18" ma:contentTypeDescription="Create a new document." ma:contentTypeScope="" ma:versionID="f2627a5f6abb02aad53a8f36b86856dc">
  <xsd:schema xmlns:xsd="http://www.w3.org/2001/XMLSchema" xmlns:xs="http://www.w3.org/2001/XMLSchema" xmlns:p="http://schemas.microsoft.com/office/2006/metadata/properties" xmlns:ns2="3b2436b4-a0ef-4191-bcff-fcc46038a15a" xmlns:ns3="f379d35b-b9c9-4230-b4d7-bd10d29aa6cf" targetNamespace="http://schemas.microsoft.com/office/2006/metadata/properties" ma:root="true" ma:fieldsID="1f7c657c069eca16acdf5ad2d257c466" ns2:_="" ns3:_="">
    <xsd:import namespace="3b2436b4-a0ef-4191-bcff-fcc46038a15a"/>
    <xsd:import namespace="f379d35b-b9c9-4230-b4d7-bd10d29aa6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2436b4-a0ef-4191-bcff-fcc46038a1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31e511e-96ae-48e9-8766-e8716f0f8db3"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description="" ma:indexed="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379d35b-b9c9-4230-b4d7-bd10d29aa6cf"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2f561361-29e8-41bf-8c19-1b989c4f60d9}" ma:internalName="TaxCatchAll" ma:showField="CatchAllData" ma:web="f379d35b-b9c9-4230-b4d7-bd10d29aa6cf">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9B690E2-7367-452A-90D5-A245FBB1C303}">
  <ds:schemaRefs>
    <ds:schemaRef ds:uri="http://schemas.openxmlformats.org/officeDocument/2006/bibliography"/>
  </ds:schemaRefs>
</ds:datastoreItem>
</file>

<file path=customXml/itemProps2.xml><?xml version="1.0" encoding="utf-8"?>
<ds:datastoreItem xmlns:ds="http://schemas.openxmlformats.org/officeDocument/2006/customXml" ds:itemID="{C8FCF0D2-829F-435B-80ED-42E145F8F9D2}"/>
</file>

<file path=customXml/itemProps3.xml><?xml version="1.0" encoding="utf-8"?>
<ds:datastoreItem xmlns:ds="http://schemas.openxmlformats.org/officeDocument/2006/customXml" ds:itemID="{449324DE-B968-4328-9FA0-FE299EC5F8F2}"/>
</file>

<file path=docProps/app.xml><?xml version="1.0" encoding="utf-8"?>
<Properties xmlns="http://schemas.openxmlformats.org/officeDocument/2006/extended-properties" xmlns:vt="http://schemas.openxmlformats.org/officeDocument/2006/docPropsVTypes">
  <Template>Normal.dotm</Template>
  <TotalTime>557</TotalTime>
  <Pages>27</Pages>
  <Words>5390</Words>
  <Characters>30726</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Operandi Limited</Company>
  <LinksUpToDate>false</LinksUpToDate>
  <CharactersWithSpaces>36044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nathalie.brough@nuccobrain.com</dc:creator>
  <cp:keywords/>
  <dc:description/>
  <cp:lastModifiedBy>Carlos Fatas</cp:lastModifiedBy>
  <cp:revision>23</cp:revision>
  <cp:lastPrinted>2021-03-04T16:08:00Z</cp:lastPrinted>
  <dcterms:created xsi:type="dcterms:W3CDTF">2021-03-16T08:47:00Z</dcterms:created>
  <dcterms:modified xsi:type="dcterms:W3CDTF">2024-04-05T11:18:00Z</dcterms:modified>
</cp:coreProperties>
</file>